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03" w:rsidRDefault="004D6103" w:rsidP="00FD32D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Методичні рекомендації стосовно профілактики отруєння бджіл</w:t>
      </w:r>
    </w:p>
    <w:p w:rsidR="004D6103" w:rsidRPr="00713C16" w:rsidRDefault="004D6103" w:rsidP="00FD32D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1498"/>
      </w:tblGrid>
      <w:tr w:rsidR="004D6103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Нормативний документ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Вимоги</w:t>
            </w:r>
          </w:p>
        </w:tc>
      </w:tr>
      <w:tr w:rsidR="004D6103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татті 30 та 37 Закону України «Про бджільництво»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59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Фізичні та юридичні особи, які застосовують засоби захисту рослин для обробки медоносних рослин, зобов'язані не пізніше ніж </w:t>
            </w:r>
            <w:r w:rsidRPr="00C35CF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за три доби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 початку обробки через засоби масової інформації </w:t>
            </w:r>
            <w:r w:rsidRPr="00C35CF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попередити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про це пасічників, пасіки яких знаходяться на відстані до десяти кілометрів від оброблюваних площ. При цьому повідомляється:</w:t>
            </w:r>
          </w:p>
          <w:p w:rsidR="004D6103" w:rsidRPr="00C35CF2" w:rsidRDefault="004D6103" w:rsidP="00C35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дата обробки, </w:t>
            </w:r>
          </w:p>
          <w:p w:rsidR="004D6103" w:rsidRPr="00C35CF2" w:rsidRDefault="004D6103" w:rsidP="00C35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назва препарату, </w:t>
            </w:r>
          </w:p>
          <w:p w:rsidR="004D6103" w:rsidRPr="00C35CF2" w:rsidRDefault="004D6103" w:rsidP="00C35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ступінь і строк дії токсичності препарату</w:t>
            </w:r>
          </w:p>
        </w:tc>
      </w:tr>
      <w:tr w:rsidR="004D6103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ункт 7 Інструкції щодо попередження та ліквідації хвороб і отруєнь бджіл, затвердженої наказом Головного державного інспектора ветеринарної медицини від 30.01.2001 № 9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Інформування власників пасік за три доби до хімобробок з зазначенням застосовуваного отрутохімікату щодо місця (у радіусі 7 км), часу і способу проведення обробки, указується час ізоляції бджіл.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Обробки проводять у період відсутності льоту бджіл у ранкові або вечірні години. Не допускають обробку квітучих медоносів і пилконосів під час масового льоту бджіл.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59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D6103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35CF2">
              <w:rPr>
                <w:rFonts w:ascii="Times New Roman" w:hAnsi="Times New Roman"/>
                <w:sz w:val="28"/>
                <w:szCs w:val="28"/>
                <w:lang w:val="uk-UA"/>
              </w:rPr>
              <w:t>ідбір зразків для лабораторного дослідження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випадку загибелі бджіл від пестицидів, розмір нанесених збитків встановлюється комісією, що створюється місцевими органами виконавчої влади.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Комісія, до складу якої обов’язково включається ветеринарний лікар, розслідує обставини на місці, складає акт із зазначенням винних осіб, надсилає проби загиблих бджіл на експертизу до державної лабораторії ветеринарної медицини.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>Для хімічного дослідження у лабораторію надсилають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: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загиблих бджіл у кількості 100 г з різних вуликів,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– 150 г незапечатаного меду,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40-50 г перги зі стільником,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оброблені отрутохімікатами рослини – не менше 0,5-0,6 кг. 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eastAsia="ru-RU"/>
              </w:rPr>
              <w:t>Зразки поміщають у скляні банки, запечатують кожен окремо і в день відбору надсилають із супровідним листом та пакетом документів на лабораторні дослідження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результатами експертизи акт комісії пред’являється потерпілій стороні і суб’єкту, який заподіяв шкоду.</w:t>
            </w:r>
          </w:p>
        </w:tc>
      </w:tr>
      <w:tr w:rsidR="004D6103" w:rsidRPr="00A50212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підпункт 5.26 пункту 5 Державних санітарних правил авіаційного застосування пестицидів і агрохімікатів у народному господарстві України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забороняється проведення авіаційних обробок пестицидами всіх груп токсичності з метою боротьби з шкідниками та хворобами сільськогосподарських культур, лісових та інших угідь, які розташовані ближче: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а) 5 км від місця постійного перебування медоносних пасік;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б) 2 км від рибогосподарських водойм, відкритих джерел водопостачання, місць випасу домашніх тварин, об'єктів природно-заповідного фонду (заповідників, національних парків, ботанічних і зоологічних заказників і т. п.);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в) 1 км від населених пунктів, тваринницьких і птахівничих ферм, а також посівів сільськогосподарських культур, які вживаються в їжу без термічної обробки, садів, виноградників і місць проведення інших сільськогосподарських робіт.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Застосовувати у сільському та лісовому господарстві, на присадибних ділянках тільки ті пестициди і агрохімікати, що пройшли державну реєстрацію і включені в перелік препаратів, дозволених до авіаційного та наземного застосування в Україні, роздрібного продажу населенню (Перелік пестицидів і агрохімікатів і щорічні доповнення до нього видається Міністерством  екології та природних ресурсів України відповідно до ст. 7 Закону України «про пестициди і агрохімікати»)</w:t>
            </w:r>
          </w:p>
        </w:tc>
      </w:tr>
      <w:tr w:rsidR="004D6103" w:rsidRPr="00A50212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аття</w:t>
            </w: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7 Закону України «Про пестициди і агрохімікати»)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Застосовувати у сільському та лісовому господарстві, на присадибних ділянках тільки ті пестициди і агрохімікати, що пройшли державну реєстрацію і включені в перелік препаратів, дозволених до авіаційного та наземного застосування в Україні, роздрібного продажу населенню (Перелік пестицидів і агрохімікатів і щорічні доповнення до нього видається Міністерством  екології та природних ресурсів України </w:t>
            </w:r>
          </w:p>
        </w:tc>
      </w:tr>
      <w:tr w:rsidR="004D6103" w:rsidTr="00C35CF2">
        <w:trPr>
          <w:trHeight w:val="3588"/>
        </w:trPr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стаття 38 Закону України «Про бджільництво»</w:t>
            </w: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Порушення законодавства в галузі бджільництва тягне за собою дисциплінарну, адміністративну, цивільно-правову або кримінальну відповідальність згідно з законами України.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Зокрема, відповідальність за порушення законодавства в галузі бджільництва несуть особи, винні у: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1) неповідомленні (приховуванні) або наданні неправдивої інформації про виникнення загрози бджолам при застосуванні засобів захисту рослин;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2) порушенні технології вирощування рослин сільськогосподарського та іншого призначення, що призвело до погіршення умов у ареалах розселення бджіл</w:t>
            </w:r>
          </w:p>
        </w:tc>
      </w:tr>
      <w:tr w:rsidR="004D6103" w:rsidRPr="00A50212" w:rsidTr="00C35CF2">
        <w:tc>
          <w:tcPr>
            <w:tcW w:w="3190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Обов’язки пасічників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498" w:type="dxa"/>
          </w:tcPr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35CF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Зареєструвати пасіку за місцем проживання або за місцем знаходження у органах місцевого самоврядування та оформити ветеринарно-санітарний паспорт на пасіку у порядку відповідно до спільного наказу Міністерства аграрної політики України і Української академії аграрних наук від 20.09.2000 року № 184/82зареєстрованого в Міністерстві юстиції України 23 жовтня 2000 року за № 736/4957</w:t>
            </w:r>
          </w:p>
          <w:p w:rsidR="004D6103" w:rsidRPr="00C35CF2" w:rsidRDefault="004D6103" w:rsidP="00C35CF2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99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5CF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При розміщенні, облаштуванні пасіки, утриманні, годівлі, розведенні бджіл необхідно дотримуватись вимог Інструкції щодо попередження та ліквідації хвороб і отруєнь бджіл, затвердженої наказом Головного державного інспектора ветеринарної медицини від 30.01.201 р. № 9 та зареєстрованої в Міністерстві юстиції України 12.02.2001 за № 131/5322.</w:t>
            </w:r>
          </w:p>
        </w:tc>
      </w:tr>
    </w:tbl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6103" w:rsidRDefault="004D6103" w:rsidP="00FD32D4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rFonts w:ascii="Times New Roman" w:hAnsi="Times New Roman"/>
          <w:sz w:val="28"/>
          <w:szCs w:val="28"/>
          <w:lang w:val="uk-UA" w:eastAsia="ru-RU"/>
        </w:rPr>
        <w:sectPr w:rsidR="004D6103" w:rsidSect="00A5021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Назва місцевої державної адміністрації або сільської, селищної, міської ради</w:t>
      </w:r>
    </w:p>
    <w:p w:rsidR="004D6103" w:rsidRPr="00A50212" w:rsidRDefault="004D6103" w:rsidP="00A50212">
      <w:pPr>
        <w:ind w:left="3402"/>
        <w:rPr>
          <w:rFonts w:ascii="Times New Roman" w:hAnsi="Times New Roman"/>
          <w:i/>
          <w:sz w:val="28"/>
          <w:szCs w:val="28"/>
          <w:lang w:val="uk-UA"/>
        </w:rPr>
      </w:pPr>
      <w:r w:rsidRPr="00A50212">
        <w:rPr>
          <w:rFonts w:ascii="Times New Roman" w:hAnsi="Times New Roman"/>
          <w:i/>
          <w:sz w:val="28"/>
          <w:szCs w:val="28"/>
          <w:lang w:val="uk-UA"/>
        </w:rPr>
        <w:t>(за місцем проживання фізичної особи  або  за місцезнаходженням юридичної особи,  яка займається бджільництвом)</w:t>
      </w: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 xml:space="preserve">Головне управління Держпродспоживслужби </w:t>
      </w: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в 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A50212">
        <w:rPr>
          <w:rFonts w:ascii="Times New Roman" w:hAnsi="Times New Roman"/>
          <w:sz w:val="28"/>
          <w:szCs w:val="28"/>
          <w:lang w:val="uk-UA"/>
        </w:rPr>
        <w:t xml:space="preserve"> області</w:t>
      </w: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</w:p>
    <w:p w:rsidR="004D6103" w:rsidRPr="00A50212" w:rsidRDefault="004D6103" w:rsidP="00A50212">
      <w:pPr>
        <w:ind w:left="3402"/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:rsidR="004D6103" w:rsidRPr="00A50212" w:rsidRDefault="004D6103" w:rsidP="00A50212">
      <w:pPr>
        <w:ind w:left="3402"/>
        <w:rPr>
          <w:rFonts w:ascii="Times New Roman" w:hAnsi="Times New Roman"/>
          <w:i/>
          <w:sz w:val="28"/>
          <w:szCs w:val="28"/>
          <w:lang w:val="uk-UA"/>
        </w:rPr>
      </w:pPr>
      <w:r w:rsidRPr="00A50212">
        <w:rPr>
          <w:rFonts w:ascii="Times New Roman" w:hAnsi="Times New Roman"/>
          <w:i/>
          <w:sz w:val="28"/>
          <w:szCs w:val="28"/>
          <w:lang w:val="uk-UA"/>
        </w:rPr>
        <w:t xml:space="preserve">в родовому відмінку зазначається прізвище </w:t>
      </w:r>
    </w:p>
    <w:p w:rsidR="004D6103" w:rsidRPr="00A50212" w:rsidRDefault="004D6103" w:rsidP="00A50212">
      <w:pPr>
        <w:ind w:left="3402"/>
        <w:rPr>
          <w:rFonts w:ascii="Times New Roman" w:hAnsi="Times New Roman"/>
          <w:i/>
          <w:sz w:val="28"/>
          <w:szCs w:val="28"/>
          <w:lang w:val="uk-UA"/>
        </w:rPr>
      </w:pPr>
      <w:r w:rsidRPr="00A50212">
        <w:rPr>
          <w:rFonts w:ascii="Times New Roman" w:hAnsi="Times New Roman"/>
          <w:i/>
          <w:sz w:val="28"/>
          <w:szCs w:val="28"/>
          <w:lang w:val="uk-UA"/>
        </w:rPr>
        <w:t>ім’я та по батькові фізичної особи та її адреса</w:t>
      </w:r>
    </w:p>
    <w:p w:rsidR="004D6103" w:rsidRPr="00A50212" w:rsidRDefault="004D6103" w:rsidP="00A50212">
      <w:pPr>
        <w:ind w:left="3402"/>
        <w:rPr>
          <w:rFonts w:ascii="Times New Roman" w:hAnsi="Times New Roman"/>
          <w:i/>
          <w:sz w:val="28"/>
          <w:szCs w:val="28"/>
          <w:lang w:val="uk-UA"/>
        </w:rPr>
      </w:pPr>
      <w:r w:rsidRPr="00A50212">
        <w:rPr>
          <w:rFonts w:ascii="Times New Roman" w:hAnsi="Times New Roman"/>
          <w:i/>
          <w:sz w:val="28"/>
          <w:szCs w:val="28"/>
          <w:lang w:val="uk-UA"/>
        </w:rPr>
        <w:t>(вулиця, назви населеного пункту, району, області, індексу)</w:t>
      </w:r>
    </w:p>
    <w:p w:rsidR="004D6103" w:rsidRPr="00A50212" w:rsidRDefault="004D6103" w:rsidP="00A50212">
      <w:pPr>
        <w:rPr>
          <w:rFonts w:ascii="Times New Roman" w:hAnsi="Times New Roman"/>
          <w:i/>
          <w:sz w:val="28"/>
          <w:szCs w:val="28"/>
          <w:lang w:val="uk-UA"/>
        </w:rPr>
      </w:pPr>
    </w:p>
    <w:p w:rsidR="004D6103" w:rsidRPr="00A50212" w:rsidRDefault="004D6103" w:rsidP="00A5021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A50212">
        <w:rPr>
          <w:rFonts w:ascii="Times New Roman" w:hAnsi="Times New Roman"/>
          <w:b/>
          <w:sz w:val="28"/>
          <w:szCs w:val="28"/>
          <w:lang w:val="uk-UA"/>
        </w:rPr>
        <w:t>Звернення (скарга)</w:t>
      </w:r>
    </w:p>
    <w:p w:rsidR="004D6103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>Відомості про оператора ринку,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 xml:space="preserve"> </w:t>
      </w:r>
      <w:r w:rsidRPr="00A50212"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>яки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>й</w:t>
      </w:r>
      <w:r w:rsidRPr="00A50212"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>потерпів від</w:t>
      </w:r>
      <w:r w:rsidRPr="00A50212">
        <w:rPr>
          <w:rFonts w:ascii="Times New Roman" w:hAnsi="Times New Roman"/>
          <w:b/>
          <w:i/>
          <w:color w:val="000000"/>
          <w:sz w:val="28"/>
          <w:szCs w:val="28"/>
          <w:lang w:val="uk-UA" w:eastAsia="ar-SA"/>
        </w:rPr>
        <w:t xml:space="preserve"> порушення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Найменування (для юридичної особи) або прізвище, ім’я, по батькові (для фізичної особи - підприємця) 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Ідентифікаційний код (для юридичної особи), або реєстраційний номер облікової картки платника податків (для фізичної особи -підприємця),</w:t>
      </w:r>
      <w:r w:rsidRPr="00A50212">
        <w:rPr>
          <w:rFonts w:ascii="Times New Roman" w:hAnsi="Times New Roman"/>
          <w:color w:val="000000"/>
          <w:sz w:val="28"/>
          <w:szCs w:val="28"/>
          <w:lang w:val="uk-UA"/>
        </w:rPr>
        <w:t>або серія (за наявності) та номер паспорта (для фізичних осіб -підприємців,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 _______</w:t>
      </w: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____________________________________________________________________Місцезнаходження (для юридичної особи) або місце проживання (для фізичної особи -підприємця) 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____________________________________________________________________Адреса відповідної потужності 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Уповноважена особа (прізвище, ім’я, по батькові, реєстраційний номер облікової картки платника податків </w:t>
      </w:r>
      <w:r w:rsidRPr="00A50212">
        <w:rPr>
          <w:rFonts w:ascii="Times New Roman" w:hAnsi="Times New Roman"/>
          <w:color w:val="000000"/>
          <w:sz w:val="28"/>
          <w:szCs w:val="28"/>
          <w:lang w:val="uk-UA"/>
        </w:rPr>
        <w:t xml:space="preserve">або серія (за наявності) та номер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 </w:t>
      </w: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та реквізити документа, що підтверджує її повноваження) 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  <w:t>Інформація про порушення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Місце вчинення порушення 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Дата та час вчинення порушення 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sz w:val="28"/>
          <w:szCs w:val="28"/>
          <w:lang w:val="uk-UA" w:eastAsia="ar-SA"/>
        </w:rPr>
        <w:t>Суть порушення ___________________________________________________________________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color w:val="000000"/>
          <w:sz w:val="28"/>
          <w:szCs w:val="28"/>
          <w:lang w:val="uk-UA"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D6103" w:rsidRPr="00A50212" w:rsidRDefault="004D6103" w:rsidP="00A5021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0212">
        <w:rPr>
          <w:rFonts w:ascii="Times New Roman" w:hAnsi="Times New Roman"/>
          <w:b/>
          <w:sz w:val="28"/>
          <w:szCs w:val="28"/>
          <w:lang w:val="uk-UA"/>
        </w:rPr>
        <w:t>Інформація про свідків порушення (якщо вони є)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1. Прізвище, ім’я, по батькові 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Місце проживання ____________________________________________________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Номер засобу зв’язку 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Підпис 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2. Прізвище, ім’я, по батькові 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Місце проживання ____________________________________________________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____________________________________________________________________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Номер засобу зв’язку __________________________________________________</w:t>
      </w:r>
    </w:p>
    <w:p w:rsidR="004D6103" w:rsidRPr="00A50212" w:rsidRDefault="004D6103" w:rsidP="00A50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 w:rsidRPr="00A50212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Підпис __________________________</w:t>
      </w:r>
    </w:p>
    <w:p w:rsidR="004D6103" w:rsidRPr="00A50212" w:rsidRDefault="004D6103" w:rsidP="00A50212">
      <w:pPr>
        <w:pStyle w:val="1"/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4D6103" w:rsidRPr="00A50212" w:rsidRDefault="004D6103" w:rsidP="00A50212">
      <w:pPr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50212">
        <w:rPr>
          <w:rFonts w:ascii="Times New Roman" w:hAnsi="Times New Roman"/>
          <w:b/>
          <w:sz w:val="28"/>
          <w:szCs w:val="28"/>
          <w:lang w:eastAsia="ar-SA"/>
        </w:rPr>
        <w:t>П</w:t>
      </w:r>
      <w:r w:rsidRPr="00A50212">
        <w:rPr>
          <w:rFonts w:ascii="Times New Roman" w:hAnsi="Times New Roman"/>
          <w:b/>
          <w:sz w:val="28"/>
          <w:szCs w:val="28"/>
          <w:lang w:val="uk-UA" w:eastAsia="ar-SA"/>
        </w:rPr>
        <w:t xml:space="preserve">осилання на положення нормативно-правового акта (із зазначенням відповідної статті, пункту, її (його) частини чи абзацу), яке було порушено особою, щодо якої складено звернення </w:t>
      </w:r>
      <w:r w:rsidRPr="00A50212">
        <w:rPr>
          <w:rFonts w:ascii="Times New Roman" w:hAnsi="Times New Roman"/>
          <w:sz w:val="28"/>
          <w:szCs w:val="28"/>
          <w:lang w:val="uk-UA" w:eastAsia="ar-SA"/>
        </w:rPr>
        <w:t>_________________________________</w:t>
      </w:r>
    </w:p>
    <w:p w:rsidR="004D6103" w:rsidRPr="00A50212" w:rsidRDefault="004D6103" w:rsidP="00A50212">
      <w:pPr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Прошу здійснити заходи державного контролю щодо перевірки зазначених фактів, для їх усунення та притягнення винних до відповідальності.</w:t>
      </w:r>
    </w:p>
    <w:p w:rsidR="004D6103" w:rsidRPr="00A50212" w:rsidRDefault="004D6103" w:rsidP="00A50212">
      <w:pPr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Зазначається перелік документів, що додаються.</w:t>
      </w:r>
    </w:p>
    <w:p w:rsidR="004D6103" w:rsidRPr="00A50212" w:rsidRDefault="004D6103" w:rsidP="00A50212">
      <w:pPr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>"___" ______ 20__ року _________________  ____________________________</w:t>
      </w:r>
    </w:p>
    <w:p w:rsidR="004D6103" w:rsidRPr="00A50212" w:rsidRDefault="004D6103" w:rsidP="00A50212">
      <w:pPr>
        <w:rPr>
          <w:rFonts w:ascii="Times New Roman" w:hAnsi="Times New Roman"/>
          <w:sz w:val="28"/>
          <w:szCs w:val="28"/>
          <w:lang w:val="uk-UA"/>
        </w:rPr>
      </w:pPr>
      <w:r w:rsidRPr="00A50212">
        <w:rPr>
          <w:rFonts w:ascii="Times New Roman" w:hAnsi="Times New Roman"/>
          <w:sz w:val="28"/>
          <w:szCs w:val="28"/>
          <w:lang w:val="uk-UA"/>
        </w:rPr>
        <w:t xml:space="preserve"> (підпис)   (ім’я, по батькові, прізвище особи)</w:t>
      </w:r>
    </w:p>
    <w:p w:rsidR="004D6103" w:rsidRPr="00300093" w:rsidRDefault="004D6103" w:rsidP="00A50212">
      <w:pPr>
        <w:rPr>
          <w:lang w:val="uk-UA"/>
        </w:rPr>
      </w:pPr>
    </w:p>
    <w:p w:rsidR="004D6103" w:rsidRDefault="004D6103" w:rsidP="00A50212">
      <w:pPr>
        <w:widowControl w:val="0"/>
        <w:autoSpaceDE w:val="0"/>
        <w:autoSpaceDN w:val="0"/>
        <w:adjustRightInd w:val="0"/>
        <w:spacing w:line="240" w:lineRule="atLeast"/>
        <w:ind w:right="99" w:firstLine="708"/>
        <w:jc w:val="both"/>
        <w:rPr>
          <w:lang w:val="uk-UA" w:eastAsia="ru-RU"/>
        </w:rPr>
      </w:pPr>
    </w:p>
    <w:sectPr w:rsidR="004D6103" w:rsidSect="00A50212">
      <w:pgSz w:w="11900" w:h="16840"/>
      <w:pgMar w:top="851" w:right="567" w:bottom="851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6B41"/>
    <w:multiLevelType w:val="hybridMultilevel"/>
    <w:tmpl w:val="034613C4"/>
    <w:lvl w:ilvl="0" w:tplc="20AE1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CF9"/>
    <w:rsid w:val="00070F64"/>
    <w:rsid w:val="0009193A"/>
    <w:rsid w:val="000E1354"/>
    <w:rsid w:val="001F3EBC"/>
    <w:rsid w:val="00284BED"/>
    <w:rsid w:val="002F3D3F"/>
    <w:rsid w:val="00300093"/>
    <w:rsid w:val="00303110"/>
    <w:rsid w:val="003A2F39"/>
    <w:rsid w:val="004D6103"/>
    <w:rsid w:val="00713C16"/>
    <w:rsid w:val="007C7A74"/>
    <w:rsid w:val="007D427F"/>
    <w:rsid w:val="00932E08"/>
    <w:rsid w:val="00A50212"/>
    <w:rsid w:val="00A71CF9"/>
    <w:rsid w:val="00A934FC"/>
    <w:rsid w:val="00C232D6"/>
    <w:rsid w:val="00C35CF2"/>
    <w:rsid w:val="00C92EE0"/>
    <w:rsid w:val="00D108D5"/>
    <w:rsid w:val="00F939D9"/>
    <w:rsid w:val="00FD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BC"/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3E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91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9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09193A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D108D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A50212"/>
    <w:pPr>
      <w:spacing w:after="160" w:line="259" w:lineRule="auto"/>
      <w:ind w:left="720"/>
      <w:contextualSpacing/>
    </w:pPr>
    <w:rPr>
      <w:rFonts w:eastAsia="Times New Roman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5</Pages>
  <Words>1359</Words>
  <Characters>7750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12</cp:revision>
  <cp:lastPrinted>2018-05-03T11:01:00Z</cp:lastPrinted>
  <dcterms:created xsi:type="dcterms:W3CDTF">2018-05-03T09:08:00Z</dcterms:created>
  <dcterms:modified xsi:type="dcterms:W3CDTF">2018-05-03T12:39:00Z</dcterms:modified>
</cp:coreProperties>
</file>