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D09" w:rsidRPr="00C406B6" w:rsidRDefault="00B27D09" w:rsidP="009C00DF">
      <w:pPr>
        <w:spacing w:after="0" w:line="240" w:lineRule="auto"/>
        <w:ind w:left="7797" w:firstLine="3261"/>
        <w:rPr>
          <w:rFonts w:ascii="Times New Roman" w:hAnsi="Times New Roman"/>
          <w:noProof/>
          <w:sz w:val="28"/>
          <w:szCs w:val="28"/>
          <w:lang w:val="uk-UA"/>
        </w:rPr>
      </w:pPr>
      <w:r w:rsidRPr="00C406B6">
        <w:rPr>
          <w:rFonts w:ascii="Times New Roman" w:hAnsi="Times New Roman"/>
          <w:noProof/>
          <w:sz w:val="28"/>
          <w:szCs w:val="28"/>
          <w:lang w:val="uk-UA"/>
        </w:rPr>
        <w:t>Додаток 7</w:t>
      </w:r>
    </w:p>
    <w:p w:rsidR="00B27D09" w:rsidRPr="00C406B6" w:rsidRDefault="00B27D09" w:rsidP="009C00DF">
      <w:pPr>
        <w:spacing w:after="0" w:line="240" w:lineRule="auto"/>
        <w:ind w:left="7797" w:firstLine="3261"/>
        <w:rPr>
          <w:rFonts w:ascii="Times New Roman" w:hAnsi="Times New Roman"/>
          <w:noProof/>
          <w:sz w:val="28"/>
          <w:szCs w:val="28"/>
          <w:lang w:val="uk-UA"/>
        </w:rPr>
      </w:pPr>
      <w:r w:rsidRPr="00C406B6">
        <w:rPr>
          <w:rFonts w:ascii="Times New Roman" w:hAnsi="Times New Roman"/>
          <w:noProof/>
          <w:sz w:val="28"/>
          <w:szCs w:val="28"/>
          <w:lang w:val="uk-UA"/>
        </w:rPr>
        <w:t xml:space="preserve">до Типової форми прогнозу </w:t>
      </w:r>
    </w:p>
    <w:p w:rsidR="00B27D09" w:rsidRPr="00C406B6" w:rsidRDefault="00B27D09" w:rsidP="009C00DF">
      <w:pPr>
        <w:spacing w:after="0" w:line="240" w:lineRule="auto"/>
        <w:ind w:left="7797" w:firstLine="3261"/>
        <w:rPr>
          <w:rFonts w:ascii="Times New Roman" w:hAnsi="Times New Roman"/>
          <w:noProof/>
          <w:sz w:val="28"/>
          <w:szCs w:val="28"/>
          <w:lang w:val="uk-UA"/>
        </w:rPr>
      </w:pPr>
      <w:r w:rsidRPr="00C406B6">
        <w:rPr>
          <w:rFonts w:ascii="Times New Roman" w:hAnsi="Times New Roman"/>
          <w:noProof/>
          <w:sz w:val="28"/>
          <w:szCs w:val="28"/>
          <w:lang w:val="uk-UA"/>
        </w:rPr>
        <w:t>місцевого бюджету</w:t>
      </w:r>
    </w:p>
    <w:p w:rsidR="00B27D09" w:rsidRPr="00C406B6" w:rsidRDefault="00B27D09" w:rsidP="009C00DF">
      <w:pPr>
        <w:spacing w:after="0" w:line="240" w:lineRule="auto"/>
        <w:ind w:left="7797" w:firstLine="3261"/>
        <w:rPr>
          <w:rFonts w:ascii="Times New Roman" w:hAnsi="Times New Roman"/>
          <w:noProof/>
          <w:sz w:val="28"/>
          <w:szCs w:val="28"/>
          <w:lang w:val="uk-UA"/>
        </w:rPr>
      </w:pPr>
      <w:r w:rsidRPr="00C406B6">
        <w:rPr>
          <w:rFonts w:ascii="Times New Roman" w:hAnsi="Times New Roman"/>
          <w:noProof/>
          <w:sz w:val="28"/>
          <w:szCs w:val="28"/>
          <w:lang w:val="uk-UA"/>
        </w:rPr>
        <w:t>(</w:t>
      </w:r>
      <w:r w:rsidR="00C406B6" w:rsidRPr="00C406B6">
        <w:rPr>
          <w:rFonts w:ascii="Times New Roman" w:hAnsi="Times New Roman"/>
          <w:noProof/>
          <w:sz w:val="28"/>
          <w:szCs w:val="28"/>
          <w:lang w:val="uk-UA"/>
        </w:rPr>
        <w:t>абзац третій розділу VI</w:t>
      </w:r>
      <w:r w:rsidRPr="00C406B6">
        <w:rPr>
          <w:rFonts w:ascii="Times New Roman" w:hAnsi="Times New Roman"/>
          <w:noProof/>
          <w:sz w:val="28"/>
          <w:szCs w:val="28"/>
          <w:lang w:val="uk-UA"/>
        </w:rPr>
        <w:t>)</w:t>
      </w:r>
    </w:p>
    <w:p w:rsidR="009C00DF" w:rsidRPr="00C406B6" w:rsidRDefault="009C00DF" w:rsidP="009C00DF">
      <w:pPr>
        <w:spacing w:after="0" w:line="240" w:lineRule="auto"/>
        <w:ind w:left="7797" w:firstLine="3261"/>
        <w:rPr>
          <w:rFonts w:ascii="Times New Roman" w:hAnsi="Times New Roman"/>
          <w:noProof/>
          <w:sz w:val="28"/>
          <w:szCs w:val="28"/>
          <w:lang w:val="uk-UA"/>
        </w:rPr>
      </w:pPr>
    </w:p>
    <w:p w:rsidR="00B27D09" w:rsidRPr="00C406B6" w:rsidRDefault="00B27D09" w:rsidP="00B27D0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C406B6">
        <w:rPr>
          <w:rFonts w:ascii="Times New Roman" w:hAnsi="Times New Roman"/>
          <w:b/>
          <w:noProof/>
          <w:sz w:val="28"/>
          <w:szCs w:val="28"/>
          <w:lang w:val="uk-UA"/>
        </w:rPr>
        <w:t xml:space="preserve">Граничні показники видатків бюджету </w:t>
      </w:r>
    </w:p>
    <w:p w:rsidR="00B27D09" w:rsidRPr="00C406B6" w:rsidRDefault="00B27D09" w:rsidP="00B27D0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C406B6">
        <w:rPr>
          <w:rFonts w:ascii="Times New Roman" w:hAnsi="Times New Roman"/>
          <w:b/>
          <w:noProof/>
          <w:sz w:val="28"/>
          <w:szCs w:val="28"/>
          <w:lang w:val="uk-UA"/>
        </w:rPr>
        <w:t>за Типовою програмною класифікацією видатків та кредитування місцевого бюджету</w:t>
      </w:r>
    </w:p>
    <w:p w:rsidR="00B27D09" w:rsidRPr="00C406B6" w:rsidRDefault="00B27D09" w:rsidP="00B27D09">
      <w:pPr>
        <w:pStyle w:val="3"/>
        <w:spacing w:before="0" w:beforeAutospacing="0" w:after="0" w:afterAutospacing="0"/>
        <w:rPr>
          <w:b w:val="0"/>
          <w:bCs w:val="0"/>
          <w:noProof/>
          <w:sz w:val="28"/>
          <w:szCs w:val="28"/>
        </w:rPr>
      </w:pPr>
      <w:r w:rsidRPr="00C406B6">
        <w:rPr>
          <w:b w:val="0"/>
          <w:bCs w:val="0"/>
          <w:noProof/>
          <w:sz w:val="28"/>
          <w:szCs w:val="28"/>
        </w:rPr>
        <w:t>__________________</w:t>
      </w:r>
    </w:p>
    <w:p w:rsidR="00B27D09" w:rsidRPr="00C406B6" w:rsidRDefault="00B27D09" w:rsidP="00B27D09">
      <w:pPr>
        <w:spacing w:after="0" w:line="240" w:lineRule="auto"/>
        <w:rPr>
          <w:rFonts w:ascii="Times New Roman" w:hAnsi="Times New Roman"/>
          <w:noProof/>
          <w:sz w:val="24"/>
          <w:szCs w:val="28"/>
          <w:lang w:val="uk-UA"/>
        </w:rPr>
      </w:pPr>
      <w:r w:rsidRPr="00C406B6">
        <w:rPr>
          <w:rFonts w:ascii="Times New Roman" w:hAnsi="Times New Roman"/>
          <w:noProof/>
          <w:sz w:val="24"/>
          <w:szCs w:val="28"/>
          <w:lang w:val="uk-UA"/>
        </w:rPr>
        <w:t>(код бюджету)</w:t>
      </w:r>
    </w:p>
    <w:p w:rsidR="00B27D09" w:rsidRPr="00C406B6" w:rsidRDefault="00B27D09" w:rsidP="009C00DF">
      <w:pPr>
        <w:spacing w:after="0" w:line="240" w:lineRule="auto"/>
        <w:ind w:right="110"/>
        <w:jc w:val="right"/>
        <w:rPr>
          <w:rFonts w:ascii="Times New Roman" w:hAnsi="Times New Roman"/>
          <w:noProof/>
          <w:sz w:val="24"/>
          <w:szCs w:val="28"/>
          <w:lang w:val="uk-UA"/>
        </w:rPr>
      </w:pPr>
      <w:r w:rsidRPr="00C406B6">
        <w:rPr>
          <w:rFonts w:ascii="Times New Roman" w:hAnsi="Times New Roman"/>
          <w:noProof/>
          <w:sz w:val="24"/>
          <w:szCs w:val="28"/>
          <w:lang w:val="uk-UA"/>
        </w:rPr>
        <w:t>(грн)</w:t>
      </w:r>
    </w:p>
    <w:tbl>
      <w:tblPr>
        <w:tblW w:w="149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7767"/>
        <w:gridCol w:w="1134"/>
        <w:gridCol w:w="1560"/>
        <w:gridCol w:w="1134"/>
        <w:gridCol w:w="1134"/>
        <w:gridCol w:w="1139"/>
      </w:tblGrid>
      <w:tr w:rsidR="00C406B6" w:rsidRPr="00C406B6" w:rsidTr="00AB0D2B">
        <w:trPr>
          <w:trHeight w:val="57"/>
          <w:tblHeader/>
        </w:trPr>
        <w:tc>
          <w:tcPr>
            <w:tcW w:w="1106" w:type="dxa"/>
          </w:tcPr>
          <w:p w:rsidR="00B27D09" w:rsidRPr="00C406B6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C406B6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Код</w:t>
            </w:r>
          </w:p>
        </w:tc>
        <w:tc>
          <w:tcPr>
            <w:tcW w:w="7767" w:type="dxa"/>
          </w:tcPr>
          <w:p w:rsidR="00B27D09" w:rsidRPr="00C406B6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C406B6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1134" w:type="dxa"/>
          </w:tcPr>
          <w:p w:rsidR="00B27D09" w:rsidRPr="00C406B6" w:rsidRDefault="00B27D09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06B6">
              <w:rPr>
                <w:sz w:val="20"/>
                <w:szCs w:val="20"/>
              </w:rPr>
              <w:t>20___ рік</w:t>
            </w:r>
          </w:p>
          <w:p w:rsidR="00B27D09" w:rsidRPr="00C406B6" w:rsidRDefault="00B27D09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vertAlign w:val="superscript"/>
              </w:rPr>
            </w:pPr>
            <w:r w:rsidRPr="00C406B6">
              <w:rPr>
                <w:sz w:val="20"/>
                <w:szCs w:val="20"/>
              </w:rPr>
              <w:t>(звіт)</w:t>
            </w:r>
          </w:p>
        </w:tc>
        <w:tc>
          <w:tcPr>
            <w:tcW w:w="1560" w:type="dxa"/>
          </w:tcPr>
          <w:p w:rsidR="00B27D09" w:rsidRPr="00C406B6" w:rsidRDefault="00B27D09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06B6">
              <w:rPr>
                <w:sz w:val="20"/>
                <w:szCs w:val="20"/>
              </w:rPr>
              <w:t>20___ рік</w:t>
            </w:r>
          </w:p>
          <w:p w:rsidR="00B27D09" w:rsidRPr="00C406B6" w:rsidRDefault="00B27D09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06B6">
              <w:rPr>
                <w:sz w:val="20"/>
                <w:szCs w:val="20"/>
              </w:rPr>
              <w:t>(затверджено)</w:t>
            </w:r>
          </w:p>
        </w:tc>
        <w:tc>
          <w:tcPr>
            <w:tcW w:w="1134" w:type="dxa"/>
          </w:tcPr>
          <w:p w:rsidR="00B27D09" w:rsidRPr="00C406B6" w:rsidRDefault="00B27D09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06B6">
              <w:rPr>
                <w:sz w:val="20"/>
                <w:szCs w:val="20"/>
              </w:rPr>
              <w:t>20___ рік</w:t>
            </w:r>
          </w:p>
          <w:p w:rsidR="00B27D09" w:rsidRPr="00C406B6" w:rsidRDefault="00B27D09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06B6">
              <w:rPr>
                <w:sz w:val="20"/>
                <w:szCs w:val="20"/>
              </w:rPr>
              <w:t>(план)</w:t>
            </w:r>
          </w:p>
        </w:tc>
        <w:tc>
          <w:tcPr>
            <w:tcW w:w="1134" w:type="dxa"/>
          </w:tcPr>
          <w:p w:rsidR="00B27D09" w:rsidRPr="00C406B6" w:rsidRDefault="00B27D09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06B6">
              <w:rPr>
                <w:sz w:val="20"/>
                <w:szCs w:val="20"/>
              </w:rPr>
              <w:t>20 ___ рік</w:t>
            </w:r>
          </w:p>
          <w:p w:rsidR="00B27D09" w:rsidRPr="00C406B6" w:rsidRDefault="00B27D09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06B6">
              <w:rPr>
                <w:sz w:val="20"/>
                <w:szCs w:val="20"/>
              </w:rPr>
              <w:t>(план)</w:t>
            </w:r>
          </w:p>
        </w:tc>
        <w:tc>
          <w:tcPr>
            <w:tcW w:w="1139" w:type="dxa"/>
          </w:tcPr>
          <w:p w:rsidR="00B27D09" w:rsidRPr="00C406B6" w:rsidRDefault="00B27D09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06B6">
              <w:rPr>
                <w:sz w:val="20"/>
                <w:szCs w:val="20"/>
              </w:rPr>
              <w:t>20 ___ рік</w:t>
            </w:r>
          </w:p>
          <w:p w:rsidR="00B27D09" w:rsidRPr="00C406B6" w:rsidRDefault="00B27D09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06B6">
              <w:rPr>
                <w:sz w:val="20"/>
                <w:szCs w:val="20"/>
              </w:rPr>
              <w:t>(план)</w:t>
            </w:r>
          </w:p>
        </w:tc>
      </w:tr>
      <w:tr w:rsidR="00C406B6" w:rsidRPr="00C406B6" w:rsidTr="00AB0D2B">
        <w:trPr>
          <w:trHeight w:val="315"/>
          <w:tblHeader/>
        </w:trPr>
        <w:tc>
          <w:tcPr>
            <w:tcW w:w="1106" w:type="dxa"/>
            <w:shd w:val="clear" w:color="auto" w:fill="auto"/>
            <w:hideMark/>
          </w:tcPr>
          <w:p w:rsidR="00B27D09" w:rsidRPr="00C406B6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C406B6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1</w:t>
            </w:r>
          </w:p>
        </w:tc>
        <w:tc>
          <w:tcPr>
            <w:tcW w:w="7767" w:type="dxa"/>
            <w:shd w:val="clear" w:color="auto" w:fill="auto"/>
            <w:hideMark/>
          </w:tcPr>
          <w:p w:rsidR="00B27D09" w:rsidRPr="00C406B6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C406B6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B27D09" w:rsidRPr="00C406B6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C406B6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3</w:t>
            </w:r>
          </w:p>
        </w:tc>
        <w:tc>
          <w:tcPr>
            <w:tcW w:w="1560" w:type="dxa"/>
          </w:tcPr>
          <w:p w:rsidR="00B27D09" w:rsidRPr="00C406B6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C406B6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4</w:t>
            </w:r>
          </w:p>
        </w:tc>
        <w:tc>
          <w:tcPr>
            <w:tcW w:w="1134" w:type="dxa"/>
          </w:tcPr>
          <w:p w:rsidR="00B27D09" w:rsidRPr="00C406B6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C406B6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5</w:t>
            </w:r>
          </w:p>
        </w:tc>
        <w:tc>
          <w:tcPr>
            <w:tcW w:w="1134" w:type="dxa"/>
          </w:tcPr>
          <w:p w:rsidR="00B27D09" w:rsidRPr="00C406B6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C406B6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6</w:t>
            </w:r>
          </w:p>
        </w:tc>
        <w:tc>
          <w:tcPr>
            <w:tcW w:w="1139" w:type="dxa"/>
          </w:tcPr>
          <w:p w:rsidR="00B27D09" w:rsidRPr="00C406B6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C406B6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7</w:t>
            </w:r>
          </w:p>
        </w:tc>
      </w:tr>
      <w:tr w:rsidR="00B27D09" w:rsidRPr="00E7409B" w:rsidTr="00AB0D2B">
        <w:trPr>
          <w:trHeight w:val="315"/>
        </w:trPr>
        <w:tc>
          <w:tcPr>
            <w:tcW w:w="1106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 w:rsidRPr="00E7409B"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0100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Державне управління</w:t>
            </w:r>
            <w:r w:rsidRPr="00E7409B"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, у тому числі:</w:t>
            </w: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B27D09" w:rsidRPr="00E7409B" w:rsidTr="00AB0D2B">
        <w:trPr>
          <w:trHeight w:val="315"/>
        </w:trPr>
        <w:tc>
          <w:tcPr>
            <w:tcW w:w="1106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ind w:right="25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B27D09" w:rsidRPr="00E7409B" w:rsidTr="00AB0D2B">
        <w:trPr>
          <w:trHeight w:val="315"/>
        </w:trPr>
        <w:tc>
          <w:tcPr>
            <w:tcW w:w="1106" w:type="dxa"/>
            <w:shd w:val="clear" w:color="auto" w:fill="auto"/>
            <w:noWrap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спеціальний фонд</w:t>
            </w: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B27D09" w:rsidRPr="00E7409B" w:rsidTr="00AB0D2B">
        <w:trPr>
          <w:trHeight w:val="315"/>
        </w:trPr>
        <w:tc>
          <w:tcPr>
            <w:tcW w:w="1106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1000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Освіта</w:t>
            </w:r>
            <w:r w:rsidRPr="00E7409B"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, у тому числі:</w:t>
            </w: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B27D09" w:rsidRPr="00E7409B" w:rsidTr="00AB0D2B">
        <w:trPr>
          <w:trHeight w:val="315"/>
        </w:trPr>
        <w:tc>
          <w:tcPr>
            <w:tcW w:w="1106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ind w:left="28" w:right="25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B27D09" w:rsidRPr="00E7409B" w:rsidTr="00AB0D2B">
        <w:trPr>
          <w:trHeight w:val="315"/>
        </w:trPr>
        <w:tc>
          <w:tcPr>
            <w:tcW w:w="1106" w:type="dxa"/>
            <w:shd w:val="clear" w:color="auto" w:fill="auto"/>
            <w:noWrap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ind w:left="28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спеціальний фонд</w:t>
            </w: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B27D09" w:rsidRPr="00E7409B" w:rsidTr="00AB0D2B">
        <w:trPr>
          <w:trHeight w:val="315"/>
        </w:trPr>
        <w:tc>
          <w:tcPr>
            <w:tcW w:w="1106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2000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Охорона здоров’я</w:t>
            </w:r>
            <w:r w:rsidRPr="00E7409B"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, у тому числі:</w:t>
            </w: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B27D09" w:rsidRPr="00E7409B" w:rsidTr="00AB0D2B">
        <w:trPr>
          <w:trHeight w:val="315"/>
        </w:trPr>
        <w:tc>
          <w:tcPr>
            <w:tcW w:w="1106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ind w:left="28" w:right="25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B27D09" w:rsidRPr="00E7409B" w:rsidTr="00AB0D2B">
        <w:trPr>
          <w:trHeight w:val="315"/>
        </w:trPr>
        <w:tc>
          <w:tcPr>
            <w:tcW w:w="1106" w:type="dxa"/>
            <w:shd w:val="clear" w:color="auto" w:fill="auto"/>
            <w:noWrap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ind w:left="28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спеціальний фонд</w:t>
            </w: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B27D09" w:rsidRPr="00E7409B" w:rsidTr="00AB0D2B">
        <w:trPr>
          <w:trHeight w:val="315"/>
        </w:trPr>
        <w:tc>
          <w:tcPr>
            <w:tcW w:w="1106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3000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Соціальний захист та соціальне забезпечення</w:t>
            </w:r>
            <w:r w:rsidRPr="00E7409B"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, у тому числі:</w:t>
            </w: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B27D09" w:rsidRPr="00E7409B" w:rsidTr="00AB0D2B">
        <w:trPr>
          <w:trHeight w:val="315"/>
        </w:trPr>
        <w:tc>
          <w:tcPr>
            <w:tcW w:w="1106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ind w:left="28" w:right="25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B27D09" w:rsidRPr="00E7409B" w:rsidTr="00AB0D2B">
        <w:trPr>
          <w:trHeight w:val="315"/>
        </w:trPr>
        <w:tc>
          <w:tcPr>
            <w:tcW w:w="1106" w:type="dxa"/>
            <w:shd w:val="clear" w:color="auto" w:fill="auto"/>
            <w:noWrap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ind w:left="28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спеціальний фонд</w:t>
            </w: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B27D09" w:rsidRPr="00E7409B" w:rsidTr="00AB0D2B">
        <w:trPr>
          <w:trHeight w:val="315"/>
        </w:trPr>
        <w:tc>
          <w:tcPr>
            <w:tcW w:w="1106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4000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Культура і мистецтво</w:t>
            </w:r>
            <w:r w:rsidRPr="00E7409B"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, у тому числі:</w:t>
            </w: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B27D09" w:rsidRPr="00E7409B" w:rsidTr="00AB0D2B">
        <w:trPr>
          <w:trHeight w:val="315"/>
        </w:trPr>
        <w:tc>
          <w:tcPr>
            <w:tcW w:w="1106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ind w:left="28" w:right="25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B27D09" w:rsidRPr="00E7409B" w:rsidTr="00AB0D2B">
        <w:trPr>
          <w:trHeight w:val="315"/>
        </w:trPr>
        <w:tc>
          <w:tcPr>
            <w:tcW w:w="1106" w:type="dxa"/>
            <w:shd w:val="clear" w:color="auto" w:fill="auto"/>
            <w:noWrap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ind w:left="28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спеціальний фонд</w:t>
            </w: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B27D09" w:rsidRPr="00E7409B" w:rsidTr="00AB0D2B">
        <w:trPr>
          <w:trHeight w:val="315"/>
        </w:trPr>
        <w:tc>
          <w:tcPr>
            <w:tcW w:w="1106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5000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Фізична культура і спорт</w:t>
            </w:r>
            <w:r w:rsidRPr="00E7409B"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, у тому числі:</w:t>
            </w: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B27D09" w:rsidRPr="00E7409B" w:rsidTr="00AB0D2B">
        <w:trPr>
          <w:trHeight w:val="315"/>
        </w:trPr>
        <w:tc>
          <w:tcPr>
            <w:tcW w:w="1106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ind w:left="28" w:right="25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B27D09" w:rsidRPr="00E7409B" w:rsidTr="00AB0D2B">
        <w:trPr>
          <w:trHeight w:val="315"/>
        </w:trPr>
        <w:tc>
          <w:tcPr>
            <w:tcW w:w="1106" w:type="dxa"/>
            <w:shd w:val="clear" w:color="auto" w:fill="auto"/>
            <w:noWrap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ind w:left="28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спеціальний фонд</w:t>
            </w: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B27D09" w:rsidRPr="00E7409B" w:rsidTr="00AB0D2B">
        <w:trPr>
          <w:trHeight w:val="315"/>
        </w:trPr>
        <w:tc>
          <w:tcPr>
            <w:tcW w:w="1106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lastRenderedPageBreak/>
              <w:t>6000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Житлово-комунальне господарство</w:t>
            </w:r>
            <w:r w:rsidRPr="00E7409B"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, у тому числі:</w:t>
            </w: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B27D09" w:rsidRPr="00E7409B" w:rsidTr="00AB0D2B">
        <w:trPr>
          <w:trHeight w:val="315"/>
        </w:trPr>
        <w:tc>
          <w:tcPr>
            <w:tcW w:w="1106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ind w:left="28" w:right="25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B27D09" w:rsidRPr="00E7409B" w:rsidTr="00AB0D2B">
        <w:trPr>
          <w:trHeight w:val="315"/>
        </w:trPr>
        <w:tc>
          <w:tcPr>
            <w:tcW w:w="1106" w:type="dxa"/>
            <w:shd w:val="clear" w:color="auto" w:fill="auto"/>
            <w:noWrap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ind w:left="28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спеціальний фонд</w:t>
            </w: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B27D09" w:rsidRPr="00E7409B" w:rsidTr="00AB0D2B">
        <w:trPr>
          <w:trHeight w:val="315"/>
        </w:trPr>
        <w:tc>
          <w:tcPr>
            <w:tcW w:w="1106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7000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Економічна діяльність</w:t>
            </w:r>
            <w:r w:rsidRPr="00E7409B"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, у тому числі:</w:t>
            </w: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B27D09" w:rsidRPr="00E7409B" w:rsidTr="00AB0D2B">
        <w:trPr>
          <w:trHeight w:val="315"/>
        </w:trPr>
        <w:tc>
          <w:tcPr>
            <w:tcW w:w="1106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ind w:left="28" w:right="25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B27D09" w:rsidRPr="00E7409B" w:rsidTr="00AB0D2B">
        <w:trPr>
          <w:trHeight w:val="315"/>
        </w:trPr>
        <w:tc>
          <w:tcPr>
            <w:tcW w:w="1106" w:type="dxa"/>
            <w:shd w:val="clear" w:color="auto" w:fill="auto"/>
            <w:noWrap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ind w:left="28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спеціальний фонд</w:t>
            </w: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B27D09" w:rsidRPr="00E7409B" w:rsidTr="00AB0D2B">
        <w:trPr>
          <w:trHeight w:val="315"/>
        </w:trPr>
        <w:tc>
          <w:tcPr>
            <w:tcW w:w="1106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8000</w:t>
            </w:r>
            <w:r>
              <w:rPr>
                <w:rStyle w:val="aa"/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footnoteReference w:id="1"/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Інша діяльність</w:t>
            </w:r>
            <w:r w:rsidRPr="00E7409B"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, у тому числі:</w:t>
            </w: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B27D09" w:rsidRPr="00E7409B" w:rsidTr="00AB0D2B">
        <w:trPr>
          <w:trHeight w:val="315"/>
        </w:trPr>
        <w:tc>
          <w:tcPr>
            <w:tcW w:w="1106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ind w:left="28" w:right="25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B27D09" w:rsidRPr="00E7409B" w:rsidTr="00AB0D2B">
        <w:trPr>
          <w:trHeight w:val="315"/>
        </w:trPr>
        <w:tc>
          <w:tcPr>
            <w:tcW w:w="1106" w:type="dxa"/>
            <w:shd w:val="clear" w:color="auto" w:fill="auto"/>
            <w:noWrap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ind w:left="28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спеціальний фонд</w:t>
            </w: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B27D09" w:rsidRPr="00E7409B" w:rsidTr="00AB0D2B">
        <w:trPr>
          <w:trHeight w:val="315"/>
        </w:trPr>
        <w:tc>
          <w:tcPr>
            <w:tcW w:w="1106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9000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Міжбюджетні трансферти</w:t>
            </w:r>
            <w:r w:rsidRPr="00E7409B"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, у тому числі:</w:t>
            </w: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B27D09" w:rsidRPr="00E7409B" w:rsidTr="00AB0D2B">
        <w:trPr>
          <w:trHeight w:val="315"/>
        </w:trPr>
        <w:tc>
          <w:tcPr>
            <w:tcW w:w="1106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B27D09" w:rsidRPr="00E7409B" w:rsidRDefault="00B27D09" w:rsidP="009C00DF">
            <w:pPr>
              <w:spacing w:after="0" w:line="240" w:lineRule="auto"/>
              <w:ind w:left="28" w:right="25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загальний фонд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 xml:space="preserve">, </w:t>
            </w:r>
            <w:r w:rsidR="009C00DF">
              <w:rPr>
                <w:rFonts w:ascii="Times New Roman" w:hAnsi="Times New Roman"/>
                <w:bCs/>
                <w:noProof/>
                <w:color w:val="FF0000"/>
                <w:sz w:val="28"/>
                <w:szCs w:val="28"/>
                <w:lang w:val="uk-UA" w:eastAsia="uk-UA"/>
              </w:rPr>
              <w:t>у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 xml:space="preserve"> тому числі:</w:t>
            </w: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B27D09" w:rsidRPr="00E7409B" w:rsidTr="00AB0D2B">
        <w:trPr>
          <w:trHeight w:val="315"/>
        </w:trPr>
        <w:tc>
          <w:tcPr>
            <w:tcW w:w="1106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9110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ind w:left="28" w:right="25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реверсна дотація</w:t>
            </w: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B27D09" w:rsidRPr="00E7409B" w:rsidTr="00AB0D2B">
        <w:trPr>
          <w:trHeight w:val="315"/>
        </w:trPr>
        <w:tc>
          <w:tcPr>
            <w:tcW w:w="1106" w:type="dxa"/>
            <w:shd w:val="clear" w:color="auto" w:fill="auto"/>
            <w:noWrap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ind w:left="28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спеціальний фонд</w:t>
            </w: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B27D09" w:rsidRPr="00E7409B" w:rsidTr="00AB0D2B">
        <w:trPr>
          <w:trHeight w:val="315"/>
        </w:trPr>
        <w:tc>
          <w:tcPr>
            <w:tcW w:w="1106" w:type="dxa"/>
            <w:shd w:val="clear" w:color="auto" w:fill="auto"/>
            <w:noWrap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Х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УСЬОГО</w:t>
            </w: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 xml:space="preserve">, </w:t>
            </w: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у тому числі:</w:t>
            </w: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B27D09" w:rsidRPr="00E7409B" w:rsidTr="00AB0D2B">
        <w:trPr>
          <w:trHeight w:val="315"/>
        </w:trPr>
        <w:tc>
          <w:tcPr>
            <w:tcW w:w="1106" w:type="dxa"/>
            <w:shd w:val="clear" w:color="auto" w:fill="auto"/>
            <w:noWrap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Х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ind w:left="28" w:right="25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B27D09" w:rsidRPr="00E7409B" w:rsidTr="00AB0D2B">
        <w:trPr>
          <w:trHeight w:val="315"/>
        </w:trPr>
        <w:tc>
          <w:tcPr>
            <w:tcW w:w="1106" w:type="dxa"/>
            <w:shd w:val="clear" w:color="auto" w:fill="auto"/>
            <w:noWrap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Х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B27D09" w:rsidRPr="00E7409B" w:rsidRDefault="00B27D09" w:rsidP="00AB0D2B">
            <w:pPr>
              <w:spacing w:after="0" w:line="240" w:lineRule="auto"/>
              <w:ind w:left="28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спеціальний фонд</w:t>
            </w: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B27D09" w:rsidRPr="00E7409B" w:rsidRDefault="00B27D09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</w:tbl>
    <w:p w:rsidR="00634C74" w:rsidRPr="00E7409B" w:rsidRDefault="00634C74" w:rsidP="009C00DF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sectPr w:rsidR="00634C74" w:rsidRPr="00E7409B" w:rsidSect="00F91AAF">
      <w:headerReference w:type="default" r:id="rId6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4CE" w:rsidRDefault="003044CE" w:rsidP="00CC65C7">
      <w:pPr>
        <w:spacing w:after="0" w:line="240" w:lineRule="auto"/>
      </w:pPr>
      <w:r>
        <w:separator/>
      </w:r>
    </w:p>
  </w:endnote>
  <w:endnote w:type="continuationSeparator" w:id="0">
    <w:p w:rsidR="003044CE" w:rsidRDefault="003044CE" w:rsidP="00CC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4CE" w:rsidRDefault="003044CE" w:rsidP="00CC65C7">
      <w:pPr>
        <w:spacing w:after="0" w:line="240" w:lineRule="auto"/>
      </w:pPr>
      <w:r>
        <w:separator/>
      </w:r>
    </w:p>
  </w:footnote>
  <w:footnote w:type="continuationSeparator" w:id="0">
    <w:p w:rsidR="003044CE" w:rsidRDefault="003044CE" w:rsidP="00CC65C7">
      <w:pPr>
        <w:spacing w:after="0" w:line="240" w:lineRule="auto"/>
      </w:pPr>
      <w:r>
        <w:continuationSeparator/>
      </w:r>
    </w:p>
  </w:footnote>
  <w:footnote w:id="1">
    <w:p w:rsidR="00B27D09" w:rsidRDefault="00B27D09" w:rsidP="00B27D0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Style w:val="aa"/>
        </w:rPr>
        <w:footnoteRef/>
      </w:r>
      <w:r>
        <w:t xml:space="preserve"> </w:t>
      </w:r>
      <w:bookmarkStart w:id="0" w:name="_GoBack"/>
      <w:r w:rsidR="009C00DF" w:rsidRPr="00C406B6">
        <w:rPr>
          <w:rFonts w:ascii="Times New Roman" w:hAnsi="Times New Roman"/>
          <w:noProof/>
          <w:sz w:val="28"/>
          <w:szCs w:val="28"/>
          <w:lang w:val="uk-UA"/>
        </w:rPr>
        <w:t>Б</w:t>
      </w:r>
      <w:r w:rsidRPr="00C406B6">
        <w:rPr>
          <w:rFonts w:ascii="Times New Roman" w:hAnsi="Times New Roman"/>
          <w:noProof/>
          <w:sz w:val="28"/>
          <w:szCs w:val="28"/>
          <w:lang w:val="uk-UA"/>
        </w:rPr>
        <w:t>е</w:t>
      </w:r>
      <w:bookmarkEnd w:id="0"/>
      <w:r w:rsidRPr="007E7AC6">
        <w:rPr>
          <w:rFonts w:ascii="Times New Roman" w:hAnsi="Times New Roman"/>
          <w:noProof/>
          <w:sz w:val="28"/>
          <w:szCs w:val="28"/>
          <w:lang w:val="uk-UA"/>
        </w:rPr>
        <w:t>з урахування розділу «Кредитування» (код Типової програмної класифікації видатків та кредитування 880</w:t>
      </w:r>
      <w:r w:rsidRPr="009C00DF">
        <w:rPr>
          <w:rFonts w:ascii="Times New Roman" w:hAnsi="Times New Roman"/>
          <w:noProof/>
          <w:color w:val="FF0000"/>
          <w:sz w:val="28"/>
          <w:szCs w:val="28"/>
          <w:lang w:val="uk-UA"/>
        </w:rPr>
        <w:t>0)</w:t>
      </w:r>
      <w:r w:rsidR="009C00DF" w:rsidRPr="009C00DF">
        <w:rPr>
          <w:rFonts w:ascii="Times New Roman" w:hAnsi="Times New Roman"/>
          <w:noProof/>
          <w:color w:val="FF0000"/>
          <w:sz w:val="28"/>
          <w:szCs w:val="28"/>
          <w:lang w:val="uk-UA"/>
        </w:rPr>
        <w:t>.</w:t>
      </w:r>
    </w:p>
    <w:p w:rsidR="00B27D09" w:rsidRDefault="00B27D09" w:rsidP="00B27D0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B27D09" w:rsidRDefault="00B27D09" w:rsidP="00B27D0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686779" w:rsidRDefault="00686779" w:rsidP="00B27D0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686779" w:rsidRDefault="00686779" w:rsidP="00B27D0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686779" w:rsidRDefault="00686779" w:rsidP="00B27D0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B27D09" w:rsidRPr="00686779" w:rsidRDefault="009C00DF" w:rsidP="00686779">
      <w:pPr>
        <w:jc w:val="center"/>
      </w:pPr>
      <w:r>
        <w:t>_</w:t>
      </w:r>
      <w:r w:rsidR="00B27D09">
        <w:t>___________________________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2205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C65C7" w:rsidRPr="00CC65C7" w:rsidRDefault="00CC65C7" w:rsidP="00CC65C7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t xml:space="preserve">                                                                                                                                   </w:t>
        </w:r>
        <w:r w:rsidRPr="00CC65C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65C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C65C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406B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C65C7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CC65C7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</w:t>
        </w:r>
        <w:r w:rsidRPr="00CC65C7">
          <w:rPr>
            <w:rFonts w:ascii="Times New Roman" w:hAnsi="Times New Roman" w:cs="Times New Roman"/>
            <w:sz w:val="24"/>
            <w:szCs w:val="24"/>
          </w:rPr>
          <w:t xml:space="preserve">          </w:t>
        </w:r>
        <w:r w:rsidR="009C00DF">
          <w:rPr>
            <w:rFonts w:ascii="Times New Roman" w:hAnsi="Times New Roman" w:cs="Times New Roman"/>
            <w:color w:val="FF0000"/>
            <w:sz w:val="24"/>
            <w:szCs w:val="24"/>
          </w:rPr>
          <w:t>П</w:t>
        </w:r>
        <w:r w:rsidRPr="00CC65C7">
          <w:rPr>
            <w:rFonts w:ascii="Times New Roman" w:hAnsi="Times New Roman" w:cs="Times New Roman"/>
            <w:sz w:val="24"/>
            <w:szCs w:val="24"/>
          </w:rPr>
          <w:t>родовження додат</w:t>
        </w:r>
        <w:r w:rsidR="00B27D09">
          <w:rPr>
            <w:rFonts w:ascii="Times New Roman" w:hAnsi="Times New Roman" w:cs="Times New Roman"/>
            <w:sz w:val="24"/>
            <w:szCs w:val="24"/>
          </w:rPr>
          <w:t>ка 7</w:t>
        </w:r>
      </w:p>
    </w:sdtContent>
  </w:sdt>
  <w:p w:rsidR="00CC65C7" w:rsidRDefault="00CC65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C7"/>
    <w:rsid w:val="00035CE8"/>
    <w:rsid w:val="00246F10"/>
    <w:rsid w:val="003044CE"/>
    <w:rsid w:val="003D524A"/>
    <w:rsid w:val="00634C74"/>
    <w:rsid w:val="00686779"/>
    <w:rsid w:val="006F2B31"/>
    <w:rsid w:val="007C3AEC"/>
    <w:rsid w:val="008812FA"/>
    <w:rsid w:val="009C00DF"/>
    <w:rsid w:val="00AD0F5D"/>
    <w:rsid w:val="00B27D09"/>
    <w:rsid w:val="00C406B6"/>
    <w:rsid w:val="00C76CE0"/>
    <w:rsid w:val="00CC65C7"/>
    <w:rsid w:val="00F748C6"/>
    <w:rsid w:val="00F91AAF"/>
    <w:rsid w:val="00FB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AE09F-E5E9-4611-9A09-042F7B06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9A4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3">
    <w:name w:val="heading 3"/>
    <w:basedOn w:val="a"/>
    <w:link w:val="30"/>
    <w:qFormat/>
    <w:rsid w:val="00FB59A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CC65C7"/>
  </w:style>
  <w:style w:type="paragraph" w:styleId="a5">
    <w:name w:val="footer"/>
    <w:basedOn w:val="a"/>
    <w:link w:val="a6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CC65C7"/>
  </w:style>
  <w:style w:type="character" w:customStyle="1" w:styleId="30">
    <w:name w:val="Заголовок 3 Знак"/>
    <w:basedOn w:val="a0"/>
    <w:link w:val="3"/>
    <w:rsid w:val="00FB59A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7">
    <w:name w:val="Normal (Web)"/>
    <w:aliases w:val="Обычный (Web)"/>
    <w:basedOn w:val="a"/>
    <w:unhideWhenUsed/>
    <w:qFormat/>
    <w:rsid w:val="00FB59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8">
    <w:name w:val="footnote text"/>
    <w:basedOn w:val="a"/>
    <w:link w:val="a9"/>
    <w:uiPriority w:val="99"/>
    <w:semiHidden/>
    <w:unhideWhenUsed/>
    <w:rsid w:val="00B27D09"/>
    <w:rPr>
      <w:sz w:val="20"/>
      <w:szCs w:val="20"/>
    </w:rPr>
  </w:style>
  <w:style w:type="character" w:customStyle="1" w:styleId="a9">
    <w:name w:val="Текст виноски Знак"/>
    <w:basedOn w:val="a0"/>
    <w:link w:val="a8"/>
    <w:uiPriority w:val="99"/>
    <w:semiHidden/>
    <w:rsid w:val="00B27D09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aa">
    <w:name w:val="footnote reference"/>
    <w:uiPriority w:val="99"/>
    <w:semiHidden/>
    <w:unhideWhenUsed/>
    <w:rsid w:val="00B27D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Degterova</dc:creator>
  <cp:keywords/>
  <dc:description/>
  <cp:lastModifiedBy>Зачинська Олена Вікторівна</cp:lastModifiedBy>
  <cp:revision>5</cp:revision>
  <dcterms:created xsi:type="dcterms:W3CDTF">2021-04-29T17:52:00Z</dcterms:created>
  <dcterms:modified xsi:type="dcterms:W3CDTF">2021-04-30T11:40:00Z</dcterms:modified>
</cp:coreProperties>
</file>