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0" w:type="dxa"/>
        <w:jc w:val="center"/>
        <w:tblLook w:val="0000" w:firstRow="0" w:lastRow="0" w:firstColumn="0" w:lastColumn="0" w:noHBand="0" w:noVBand="0"/>
      </w:tblPr>
      <w:tblGrid>
        <w:gridCol w:w="4395"/>
        <w:gridCol w:w="850"/>
        <w:gridCol w:w="4415"/>
      </w:tblGrid>
      <w:tr w:rsidR="00BB091C" w:rsidRPr="00BF4AB1" w:rsidTr="00BB091C">
        <w:trPr>
          <w:cantSplit/>
          <w:trHeight w:val="1078"/>
          <w:jc w:val="center"/>
        </w:trPr>
        <w:tc>
          <w:tcPr>
            <w:tcW w:w="9660" w:type="dxa"/>
            <w:gridSpan w:val="3"/>
          </w:tcPr>
          <w:p w:rsidR="00BB091C" w:rsidRPr="00BF4AB1" w:rsidRDefault="00BB091C" w:rsidP="0079777A">
            <w:pPr>
              <w:tabs>
                <w:tab w:val="left" w:pos="37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B1">
              <w:rPr>
                <w:rFonts w:ascii="Times New Roman" w:hAnsi="Times New Roman" w:cs="Times New Roman"/>
                <w:sz w:val="28"/>
                <w:szCs w:val="28"/>
              </w:rPr>
              <w:object w:dxaOrig="2040" w:dyaOrig="2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0.25pt" o:ole="">
                  <v:imagedata r:id="rId5" o:title=""/>
                </v:shape>
                <o:OLEObject Type="Embed" ProgID="PBrush" ShapeID="_x0000_i1025" DrawAspect="Content" ObjectID="_1770106966" r:id="rId6"/>
              </w:object>
            </w:r>
            <w:r w:rsidRPr="00BF4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91C" w:rsidRPr="00BF4AB1" w:rsidTr="00BB091C">
        <w:trPr>
          <w:cantSplit/>
          <w:trHeight w:val="1615"/>
          <w:jc w:val="center"/>
        </w:trPr>
        <w:tc>
          <w:tcPr>
            <w:tcW w:w="9660" w:type="dxa"/>
            <w:gridSpan w:val="3"/>
          </w:tcPr>
          <w:p w:rsidR="00BB091C" w:rsidRPr="00BF4AB1" w:rsidRDefault="00BB091C" w:rsidP="0079777A">
            <w:pPr>
              <w:pStyle w:val="4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:rsidR="00BB091C" w:rsidRPr="00BF4AB1" w:rsidRDefault="00BB091C" w:rsidP="0079777A">
            <w:pPr>
              <w:pStyle w:val="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F4AB1">
              <w:rPr>
                <w:rFonts w:ascii="Times New Roman" w:hAnsi="Times New Roman" w:cs="Times New Roman"/>
                <w:sz w:val="36"/>
                <w:szCs w:val="36"/>
              </w:rPr>
              <w:t>ВИКОНАВЧИЙ КОМІТЕТ</w:t>
            </w:r>
          </w:p>
          <w:p w:rsidR="00BB091C" w:rsidRPr="00BF4AB1" w:rsidRDefault="00BB091C" w:rsidP="007977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F4AB1">
              <w:rPr>
                <w:rFonts w:ascii="Times New Roman" w:hAnsi="Times New Roman" w:cs="Times New Roman"/>
                <w:b/>
                <w:sz w:val="36"/>
                <w:szCs w:val="36"/>
              </w:rPr>
              <w:t>БОРИСПІЛЬСЬКОЇ МІСЬКОЇ РАДИ</w:t>
            </w:r>
          </w:p>
          <w:p w:rsidR="00BB091C" w:rsidRPr="00BF4AB1" w:rsidRDefault="00BB091C" w:rsidP="0079777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вул. Київський Шлях, 72 м. Бориспіль, Київська обл., 08301 </w:t>
            </w:r>
          </w:p>
          <w:p w:rsidR="00BB091C" w:rsidRPr="00BF4AB1" w:rsidRDefault="00BB091C" w:rsidP="0079777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тел.(045 95) 5-58-02 </w:t>
            </w:r>
            <w:hyperlink r:id="rId7" w:history="1">
              <w:r w:rsidRPr="00BF4AB1">
                <w:rPr>
                  <w:rStyle w:val="a7"/>
                  <w:rFonts w:ascii="Times New Roman" w:hAnsi="Times New Roman" w:cs="Times New Roman"/>
                  <w:i/>
                  <w:sz w:val="20"/>
                  <w:szCs w:val="20"/>
                </w:rPr>
                <w:t>www.borispol</w:t>
              </w:r>
            </w:hyperlink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-rada.gov.ua е-mail: </w:t>
            </w:r>
            <w:proofErr w:type="spellStart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inf</w:t>
            </w:r>
            <w:proofErr w:type="spellEnd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@</w:t>
            </w:r>
            <w:hyperlink r:id="rId8" w:history="1">
              <w:r w:rsidRPr="00BF4AB1">
                <w:rPr>
                  <w:rStyle w:val="a7"/>
                  <w:rFonts w:ascii="Times New Roman" w:hAnsi="Times New Roman" w:cs="Times New Roman"/>
                  <w:i/>
                  <w:sz w:val="20"/>
                  <w:szCs w:val="20"/>
                </w:rPr>
                <w:t>borispol-rada.gov.ua</w:t>
              </w:r>
            </w:hyperlink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ЄДРПОУ 33003375</w:t>
            </w:r>
          </w:p>
          <w:p w:rsidR="00BB091C" w:rsidRPr="00BF4AB1" w:rsidRDefault="00BB091C" w:rsidP="0079777A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B091C" w:rsidRPr="00BF4AB1" w:rsidTr="00BB091C">
        <w:trPr>
          <w:trHeight w:val="1381"/>
          <w:jc w:val="center"/>
        </w:trPr>
        <w:tc>
          <w:tcPr>
            <w:tcW w:w="4395" w:type="dxa"/>
          </w:tcPr>
          <w:p w:rsidR="00BB091C" w:rsidRPr="00BF4AB1" w:rsidRDefault="00BB091C" w:rsidP="0079777A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F4AB1">
              <w:rPr>
                <w:rFonts w:ascii="Times New Roman" w:hAnsi="Times New Roman" w:cs="Times New Roman"/>
                <w:sz w:val="28"/>
                <w:szCs w:val="28"/>
              </w:rPr>
              <w:t>____________ №______________</w:t>
            </w:r>
          </w:p>
          <w:p w:rsidR="00BB091C" w:rsidRPr="00BF4AB1" w:rsidRDefault="00BB091C" w:rsidP="0079777A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F4AB1">
              <w:rPr>
                <w:rFonts w:ascii="Times New Roman" w:hAnsi="Times New Roman" w:cs="Times New Roman"/>
                <w:sz w:val="28"/>
                <w:szCs w:val="28"/>
              </w:rPr>
              <w:t>На № _______ від ____________</w:t>
            </w:r>
          </w:p>
          <w:p w:rsidR="00BB091C" w:rsidRPr="00BF4AB1" w:rsidRDefault="00BB091C" w:rsidP="0079777A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B091C" w:rsidRPr="00BF4AB1" w:rsidRDefault="00BB091C" w:rsidP="0079777A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B091C" w:rsidRPr="00BF4AB1" w:rsidRDefault="00BB091C" w:rsidP="00797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91C" w:rsidRPr="00BF4AB1" w:rsidRDefault="00BB091C" w:rsidP="007977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F4A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</w:t>
            </w:r>
          </w:p>
        </w:tc>
        <w:tc>
          <w:tcPr>
            <w:tcW w:w="850" w:type="dxa"/>
          </w:tcPr>
          <w:p w:rsidR="00BB091C" w:rsidRPr="00BF4AB1" w:rsidRDefault="00BB091C" w:rsidP="0079777A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5" w:type="dxa"/>
          </w:tcPr>
          <w:p w:rsidR="00BB091C" w:rsidRPr="00BF4AB1" w:rsidRDefault="00BB091C" w:rsidP="0079777A">
            <w:pPr>
              <w:tabs>
                <w:tab w:val="left" w:pos="374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E22B98" w:rsidRPr="00BB091C" w:rsidRDefault="00B908A1">
      <w:pPr>
        <w:jc w:val="center"/>
        <w:rPr>
          <w:rFonts w:ascii="Times New Roman" w:eastAsia="Raleway" w:hAnsi="Times New Roman" w:cs="Times New Roman"/>
          <w:sz w:val="28"/>
          <w:szCs w:val="28"/>
        </w:rPr>
      </w:pPr>
      <w:r w:rsidRPr="00BB091C">
        <w:rPr>
          <w:rFonts w:ascii="Times New Roman" w:eastAsia="Raleway" w:hAnsi="Times New Roman" w:cs="Times New Roman"/>
          <w:sz w:val="28"/>
          <w:szCs w:val="28"/>
        </w:rPr>
        <w:t>ДОВІДКА ПРО КОНСУЛЬТАЦІЇ</w:t>
      </w:r>
    </w:p>
    <w:p w:rsidR="00E22B98" w:rsidRPr="00BB091C" w:rsidRDefault="00B908A1">
      <w:pPr>
        <w:jc w:val="center"/>
        <w:rPr>
          <w:rFonts w:ascii="Times New Roman" w:eastAsia="Raleway" w:hAnsi="Times New Roman" w:cs="Times New Roman"/>
          <w:sz w:val="28"/>
          <w:szCs w:val="28"/>
        </w:rPr>
      </w:pPr>
      <w:bookmarkStart w:id="0" w:name="_GoBack"/>
      <w:r w:rsidRPr="00BB091C">
        <w:rPr>
          <w:rFonts w:ascii="Times New Roman" w:eastAsia="Raleway" w:hAnsi="Times New Roman" w:cs="Times New Roman"/>
          <w:sz w:val="28"/>
          <w:szCs w:val="28"/>
        </w:rPr>
        <w:t>з органами виконавчої влади у процесі стратегічної екологічної оцінки документу державного планування</w:t>
      </w:r>
    </w:p>
    <w:p w:rsidR="00E22B98" w:rsidRPr="00BB091C" w:rsidRDefault="00B908A1">
      <w:pPr>
        <w:jc w:val="center"/>
        <w:rPr>
          <w:rFonts w:ascii="Times New Roman" w:eastAsia="Raleway" w:hAnsi="Times New Roman" w:cs="Times New Roman"/>
          <w:color w:val="FF0000"/>
          <w:sz w:val="28"/>
          <w:szCs w:val="28"/>
        </w:rPr>
      </w:pPr>
      <w:r w:rsidRPr="00BB091C">
        <w:rPr>
          <w:rFonts w:ascii="Times New Roman" w:eastAsia="Raleway" w:hAnsi="Times New Roman" w:cs="Times New Roman"/>
          <w:sz w:val="28"/>
          <w:szCs w:val="28"/>
        </w:rPr>
        <w:t>“Програма соціально-економічного та культурного розвитку Бориспільської міської територіальної громади  на 2024-2026 роки”</w:t>
      </w:r>
      <w:r w:rsidRPr="00BB091C">
        <w:rPr>
          <w:rFonts w:ascii="Times New Roman" w:eastAsia="Raleway" w:hAnsi="Times New Roman" w:cs="Times New Roman"/>
          <w:color w:val="FF0000"/>
          <w:sz w:val="28"/>
          <w:szCs w:val="28"/>
        </w:rPr>
        <w:br/>
      </w:r>
      <w:bookmarkEnd w:id="0"/>
    </w:p>
    <w:p w:rsidR="00E22B98" w:rsidRPr="00BB091C" w:rsidRDefault="00BB091C">
      <w:pPr>
        <w:ind w:firstLine="720"/>
        <w:rPr>
          <w:rFonts w:ascii="Times New Roman" w:eastAsia="Raleway" w:hAnsi="Times New Roman" w:cs="Times New Roman"/>
          <w:sz w:val="28"/>
          <w:szCs w:val="28"/>
        </w:rPr>
      </w:pPr>
      <w:r>
        <w:rPr>
          <w:rFonts w:ascii="Times New Roman" w:eastAsia="Raleway" w:hAnsi="Times New Roman" w:cs="Times New Roman"/>
          <w:sz w:val="28"/>
          <w:szCs w:val="28"/>
          <w:lang w:val="uk-UA"/>
        </w:rPr>
        <w:t>В</w:t>
      </w:r>
      <w:proofErr w:type="spellStart"/>
      <w:r w:rsidR="00B908A1" w:rsidRPr="00BB091C">
        <w:rPr>
          <w:rFonts w:ascii="Times New Roman" w:eastAsia="Raleway" w:hAnsi="Times New Roman" w:cs="Times New Roman"/>
          <w:sz w:val="28"/>
          <w:szCs w:val="28"/>
        </w:rPr>
        <w:t>ідповідно</w:t>
      </w:r>
      <w:proofErr w:type="spellEnd"/>
      <w:r w:rsidR="00B908A1" w:rsidRPr="00BB091C">
        <w:rPr>
          <w:rFonts w:ascii="Times New Roman" w:eastAsia="Raleway" w:hAnsi="Times New Roman" w:cs="Times New Roman"/>
          <w:sz w:val="28"/>
          <w:szCs w:val="28"/>
        </w:rPr>
        <w:t xml:space="preserve"> до статті 13 Закону України «Про стратегічну екологічну оцінку» (далі - Закон) в рамках консультації з органами виконавчої влади у процесі стратегічної екологічної оцінки </w:t>
      </w:r>
      <w:proofErr w:type="spellStart"/>
      <w:r w:rsidR="00B908A1" w:rsidRPr="00BB091C">
        <w:rPr>
          <w:rFonts w:ascii="Times New Roman" w:eastAsia="Raleway" w:hAnsi="Times New Roman" w:cs="Times New Roman"/>
          <w:sz w:val="28"/>
          <w:szCs w:val="28"/>
        </w:rPr>
        <w:t>проєкт</w:t>
      </w:r>
      <w:proofErr w:type="spellEnd"/>
      <w:r w:rsidR="00B908A1" w:rsidRPr="00BB091C">
        <w:rPr>
          <w:rFonts w:ascii="Times New Roman" w:eastAsia="Raleway" w:hAnsi="Times New Roman" w:cs="Times New Roman"/>
          <w:sz w:val="28"/>
          <w:szCs w:val="28"/>
        </w:rPr>
        <w:t xml:space="preserve"> документа державного планування - “Програма соціально-економічного та культурного розвитку Бориспільської міської територіальної громади  на 2024-2026 роки”, звіт про стратегічну екологічну оцінку та повідомлення про оприлюднення цих документів були подані </w:t>
      </w:r>
      <w:r>
        <w:rPr>
          <w:rFonts w:ascii="Times New Roman" w:eastAsia="Raleway" w:hAnsi="Times New Roman" w:cs="Times New Roman"/>
          <w:sz w:val="28"/>
          <w:szCs w:val="28"/>
          <w:lang w:val="uk-UA"/>
        </w:rPr>
        <w:t xml:space="preserve">виконавчим комітетом </w:t>
      </w:r>
      <w:proofErr w:type="spellStart"/>
      <w:r w:rsidR="00B908A1" w:rsidRPr="00BB091C">
        <w:rPr>
          <w:rFonts w:ascii="Times New Roman" w:eastAsia="Raleway" w:hAnsi="Times New Roman" w:cs="Times New Roman"/>
          <w:sz w:val="28"/>
          <w:szCs w:val="28"/>
        </w:rPr>
        <w:t>Бориспільсько</w:t>
      </w:r>
      <w:proofErr w:type="spellEnd"/>
      <w:r>
        <w:rPr>
          <w:rFonts w:ascii="Times New Roman" w:eastAsia="Raleway" w:hAnsi="Times New Roman" w:cs="Times New Roman"/>
          <w:sz w:val="28"/>
          <w:szCs w:val="28"/>
          <w:lang w:val="uk-UA"/>
        </w:rPr>
        <w:t>ї</w:t>
      </w:r>
      <w:r w:rsidR="00B908A1" w:rsidRPr="00BB091C">
        <w:rPr>
          <w:rFonts w:ascii="Times New Roman" w:eastAsia="Raleway" w:hAnsi="Times New Roman" w:cs="Times New Roman"/>
          <w:sz w:val="28"/>
          <w:szCs w:val="28"/>
        </w:rPr>
        <w:t xml:space="preserve"> </w:t>
      </w:r>
      <w:proofErr w:type="spellStart"/>
      <w:r w:rsidR="00B908A1" w:rsidRPr="00BB091C">
        <w:rPr>
          <w:rFonts w:ascii="Times New Roman" w:eastAsia="Raleway" w:hAnsi="Times New Roman" w:cs="Times New Roman"/>
          <w:sz w:val="28"/>
          <w:szCs w:val="28"/>
        </w:rPr>
        <w:t>місько</w:t>
      </w:r>
      <w:proofErr w:type="spellEnd"/>
      <w:r>
        <w:rPr>
          <w:rFonts w:ascii="Times New Roman" w:eastAsia="Raleway" w:hAnsi="Times New Roman" w:cs="Times New Roman"/>
          <w:sz w:val="28"/>
          <w:szCs w:val="28"/>
          <w:lang w:val="uk-UA"/>
        </w:rPr>
        <w:t>ї</w:t>
      </w:r>
      <w:r w:rsidR="00B908A1" w:rsidRPr="00BB091C">
        <w:rPr>
          <w:rFonts w:ascii="Times New Roman" w:eastAsia="Raleway" w:hAnsi="Times New Roman" w:cs="Times New Roman"/>
          <w:sz w:val="28"/>
          <w:szCs w:val="28"/>
        </w:rPr>
        <w:t xml:space="preserve"> рад</w:t>
      </w:r>
      <w:r>
        <w:rPr>
          <w:rFonts w:ascii="Times New Roman" w:eastAsia="Raleway" w:hAnsi="Times New Roman" w:cs="Times New Roman"/>
          <w:sz w:val="28"/>
          <w:szCs w:val="28"/>
          <w:lang w:val="uk-UA"/>
        </w:rPr>
        <w:t>и</w:t>
      </w:r>
      <w:r w:rsidR="00B908A1" w:rsidRPr="00BB091C">
        <w:rPr>
          <w:rFonts w:ascii="Times New Roman" w:eastAsia="Raleway" w:hAnsi="Times New Roman" w:cs="Times New Roman"/>
          <w:sz w:val="28"/>
          <w:szCs w:val="28"/>
        </w:rPr>
        <w:t xml:space="preserve"> до органів, зазначених у статтях 6, 7 та 8 Закону. В рамках консультації з органами виконавчої влади у процесі стратегічної екологічної оцінки до</w:t>
      </w:r>
      <w:r>
        <w:rPr>
          <w:rFonts w:ascii="Times New Roman" w:eastAsia="Raleway" w:hAnsi="Times New Roman" w:cs="Times New Roman"/>
          <w:sz w:val="28"/>
          <w:szCs w:val="28"/>
          <w:lang w:val="uk-UA"/>
        </w:rPr>
        <w:t xml:space="preserve"> виконавчого комітету</w:t>
      </w:r>
      <w:r w:rsidR="00B908A1" w:rsidRPr="00BB091C">
        <w:rPr>
          <w:rFonts w:ascii="Times New Roman" w:eastAsia="Raleway" w:hAnsi="Times New Roman" w:cs="Times New Roman"/>
          <w:sz w:val="28"/>
          <w:szCs w:val="28"/>
        </w:rPr>
        <w:t xml:space="preserve"> Бориспільської міської ради надійшли зауваження та пропозиції від уповноважених органів </w:t>
      </w:r>
      <w:r w:rsidR="00B908A1" w:rsidRPr="00BB091C">
        <w:rPr>
          <w:rFonts w:ascii="Times New Roman" w:eastAsia="Raleway" w:hAnsi="Times New Roman" w:cs="Times New Roman"/>
          <w:sz w:val="28"/>
          <w:szCs w:val="28"/>
        </w:rPr>
        <w:lastRenderedPageBreak/>
        <w:t xml:space="preserve">зазначених у статтях 6, 7 та 8 Закону, яким чином у документі державного планування (далі - ДДП) та звіті про стратегічну екологічну оцінку (далі – звіт про СЕО) враховані зауваження і пропозиції, подані відповідно до статті 13 Закону, представлено в таблиці. З урахуванням редакції звіту про СЕО та ДДП відповідно до зауважень та пропозицій, наданих уповноваженими органами, </w:t>
      </w:r>
      <w:proofErr w:type="spellStart"/>
      <w:r w:rsidR="00B908A1" w:rsidRPr="00BB091C">
        <w:rPr>
          <w:rFonts w:ascii="Times New Roman" w:eastAsia="Raleway" w:hAnsi="Times New Roman" w:cs="Times New Roman"/>
          <w:sz w:val="28"/>
          <w:szCs w:val="28"/>
        </w:rPr>
        <w:t>проєкт</w:t>
      </w:r>
      <w:proofErr w:type="spellEnd"/>
      <w:r w:rsidR="00B908A1" w:rsidRPr="00BB091C">
        <w:rPr>
          <w:rFonts w:ascii="Times New Roman" w:eastAsia="Raleway" w:hAnsi="Times New Roman" w:cs="Times New Roman"/>
          <w:sz w:val="28"/>
          <w:szCs w:val="28"/>
        </w:rPr>
        <w:t xml:space="preserve"> Програми пропонується до затвердження.</w:t>
      </w:r>
    </w:p>
    <w:p w:rsidR="00E22B98" w:rsidRDefault="00E22B98">
      <w:pPr>
        <w:jc w:val="center"/>
        <w:rPr>
          <w:rFonts w:ascii="Raleway" w:eastAsia="Raleway" w:hAnsi="Raleway" w:cs="Raleway"/>
          <w:color w:val="FF0000"/>
        </w:rPr>
      </w:pPr>
    </w:p>
    <w:tbl>
      <w:tblPr>
        <w:tblStyle w:val="a5"/>
        <w:tblW w:w="14790" w:type="dxa"/>
        <w:tblInd w:w="-6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265"/>
        <w:gridCol w:w="1470"/>
        <w:gridCol w:w="4335"/>
        <w:gridCol w:w="1665"/>
        <w:gridCol w:w="4380"/>
      </w:tblGrid>
      <w:tr w:rsidR="00E22B98">
        <w:trPr>
          <w:trHeight w:val="172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jc w:val="center"/>
              <w:rPr>
                <w:rFonts w:ascii="Raleway" w:eastAsia="Raleway" w:hAnsi="Raleway" w:cs="Raleway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№</w:t>
            </w:r>
          </w:p>
          <w:p w:rsidR="00E22B98" w:rsidRDefault="00B908A1">
            <w:pPr>
              <w:ind w:left="141"/>
              <w:jc w:val="center"/>
              <w:rPr>
                <w:rFonts w:ascii="Raleway" w:eastAsia="Raleway" w:hAnsi="Raleway" w:cs="Raleway"/>
                <w:b/>
                <w:sz w:val="20"/>
                <w:szCs w:val="20"/>
              </w:rPr>
            </w:pPr>
            <w:r>
              <w:rPr>
                <w:rFonts w:ascii="Raleway" w:eastAsia="Raleway" w:hAnsi="Raleway" w:cs="Raleway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aleway" w:eastAsia="Raleway" w:hAnsi="Raleway" w:cs="Raleway"/>
                <w:b/>
                <w:sz w:val="20"/>
                <w:szCs w:val="20"/>
              </w:rPr>
              <w:t>п.п</w:t>
            </w:r>
            <w:proofErr w:type="spellEnd"/>
            <w:r>
              <w:rPr>
                <w:rFonts w:ascii="Raleway" w:eastAsia="Raleway" w:hAnsi="Raleway" w:cs="Raleway"/>
                <w:b/>
                <w:sz w:val="20"/>
                <w:szCs w:val="20"/>
              </w:rPr>
              <w:t>.</w:t>
            </w:r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jc w:val="center"/>
              <w:rPr>
                <w:rFonts w:ascii="Raleway" w:eastAsia="Raleway" w:hAnsi="Raleway" w:cs="Raleway"/>
                <w:b/>
                <w:sz w:val="20"/>
                <w:szCs w:val="20"/>
              </w:rPr>
            </w:pPr>
            <w:r>
              <w:rPr>
                <w:rFonts w:ascii="Raleway" w:eastAsia="Raleway" w:hAnsi="Raleway" w:cs="Raleway"/>
                <w:b/>
                <w:sz w:val="20"/>
                <w:szCs w:val="20"/>
              </w:rPr>
              <w:t>Уповноважений орган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jc w:val="center"/>
              <w:rPr>
                <w:rFonts w:ascii="Raleway" w:eastAsia="Raleway" w:hAnsi="Raleway" w:cs="Raleway"/>
                <w:b/>
                <w:sz w:val="20"/>
                <w:szCs w:val="20"/>
              </w:rPr>
            </w:pPr>
            <w:r>
              <w:rPr>
                <w:rFonts w:ascii="Raleway" w:eastAsia="Raleway" w:hAnsi="Raleway" w:cs="Raleway"/>
                <w:b/>
                <w:sz w:val="20"/>
                <w:szCs w:val="20"/>
              </w:rPr>
              <w:t>Редакція частини ДДП/Звіту про СЕО до якої висловлено зауваження/</w:t>
            </w:r>
          </w:p>
          <w:p w:rsidR="00E22B98" w:rsidRDefault="00B908A1">
            <w:pPr>
              <w:ind w:left="141"/>
              <w:jc w:val="center"/>
              <w:rPr>
                <w:rFonts w:ascii="Raleway" w:eastAsia="Raleway" w:hAnsi="Raleway" w:cs="Raleway"/>
                <w:b/>
                <w:sz w:val="20"/>
                <w:szCs w:val="20"/>
              </w:rPr>
            </w:pPr>
            <w:r>
              <w:rPr>
                <w:rFonts w:ascii="Raleway" w:eastAsia="Raleway" w:hAnsi="Raleway" w:cs="Raleway"/>
                <w:b/>
                <w:sz w:val="20"/>
                <w:szCs w:val="20"/>
              </w:rPr>
              <w:t>пропозицію</w:t>
            </w:r>
          </w:p>
        </w:tc>
        <w:tc>
          <w:tcPr>
            <w:tcW w:w="43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jc w:val="center"/>
              <w:rPr>
                <w:rFonts w:ascii="Raleway" w:eastAsia="Raleway" w:hAnsi="Raleway" w:cs="Raleway"/>
                <w:b/>
                <w:sz w:val="20"/>
                <w:szCs w:val="20"/>
              </w:rPr>
            </w:pPr>
            <w:r>
              <w:rPr>
                <w:rFonts w:ascii="Raleway" w:eastAsia="Raleway" w:hAnsi="Raleway" w:cs="Raleway"/>
                <w:b/>
                <w:sz w:val="20"/>
                <w:szCs w:val="20"/>
              </w:rPr>
              <w:t>Зауваження/пропозиція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jc w:val="center"/>
              <w:rPr>
                <w:rFonts w:ascii="Raleway" w:eastAsia="Raleway" w:hAnsi="Raleway" w:cs="Raleway"/>
                <w:b/>
                <w:sz w:val="20"/>
                <w:szCs w:val="20"/>
              </w:rPr>
            </w:pPr>
            <w:r>
              <w:rPr>
                <w:rFonts w:ascii="Raleway" w:eastAsia="Raleway" w:hAnsi="Raleway" w:cs="Raleway"/>
                <w:b/>
                <w:sz w:val="20"/>
                <w:szCs w:val="20"/>
              </w:rPr>
              <w:t xml:space="preserve">Спосіб врахування (повністю враховано, частково враховано або </w:t>
            </w:r>
            <w:proofErr w:type="spellStart"/>
            <w:r>
              <w:rPr>
                <w:rFonts w:ascii="Raleway" w:eastAsia="Raleway" w:hAnsi="Raleway" w:cs="Raleway"/>
                <w:b/>
                <w:sz w:val="20"/>
                <w:szCs w:val="20"/>
              </w:rPr>
              <w:t>обгрунтовано</w:t>
            </w:r>
            <w:proofErr w:type="spellEnd"/>
            <w:r>
              <w:rPr>
                <w:rFonts w:ascii="Raleway" w:eastAsia="Raleway" w:hAnsi="Raleway" w:cs="Raleway"/>
                <w:b/>
                <w:sz w:val="20"/>
                <w:szCs w:val="20"/>
              </w:rPr>
              <w:t xml:space="preserve"> відхилено)</w:t>
            </w:r>
          </w:p>
        </w:tc>
        <w:tc>
          <w:tcPr>
            <w:tcW w:w="4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jc w:val="center"/>
              <w:rPr>
                <w:rFonts w:ascii="Raleway" w:eastAsia="Raleway" w:hAnsi="Raleway" w:cs="Raleway"/>
                <w:b/>
                <w:sz w:val="20"/>
                <w:szCs w:val="20"/>
              </w:rPr>
            </w:pPr>
            <w:r>
              <w:rPr>
                <w:rFonts w:ascii="Raleway" w:eastAsia="Raleway" w:hAnsi="Raleway" w:cs="Raleway"/>
                <w:b/>
                <w:sz w:val="20"/>
                <w:szCs w:val="20"/>
              </w:rPr>
              <w:t>Обґрунтування</w:t>
            </w:r>
          </w:p>
        </w:tc>
      </w:tr>
      <w:tr w:rsidR="00E22B98">
        <w:trPr>
          <w:trHeight w:val="465"/>
        </w:trPr>
        <w:tc>
          <w:tcPr>
            <w:tcW w:w="1479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jc w:val="center"/>
              <w:rPr>
                <w:rFonts w:ascii="Raleway" w:eastAsia="Raleway" w:hAnsi="Raleway" w:cs="Raleway"/>
                <w:b/>
                <w:sz w:val="20"/>
                <w:szCs w:val="20"/>
              </w:rPr>
            </w:pPr>
            <w:r>
              <w:rPr>
                <w:rFonts w:ascii="Raleway" w:eastAsia="Raleway" w:hAnsi="Raleway" w:cs="Raleway"/>
                <w:b/>
                <w:sz w:val="20"/>
                <w:szCs w:val="20"/>
              </w:rPr>
              <w:t>До проекту ДДП</w:t>
            </w:r>
          </w:p>
        </w:tc>
      </w:tr>
      <w:tr w:rsidR="00E22B98">
        <w:trPr>
          <w:trHeight w:val="42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 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Міндовкілля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лист № 25/5-21/20010-23 від 25.12.2023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ДДП в цілому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Пропонуємо розглянути доповнення розділу «Завдання та заходи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економічного та соціального розвитку Бориспільської міської територіальної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громади на 2024 – 2026 роки»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Проєкту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</w:rPr>
              <w:t xml:space="preserve"> завданнями та заходами щодо: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створення нових та збереження існуючих територій та об’єктів природно-заповідного фонду;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формування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екомережі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</w:rPr>
              <w:t>;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відновлення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антропогенно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</w:rPr>
              <w:t xml:space="preserve"> змінених екосистем, рекультивації порушених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земель, консервації деградованих, малопродуктивних та техногенно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забруднених земель.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146D04">
            <w:pPr>
              <w:ind w:left="141"/>
              <w:rPr>
                <w:rFonts w:ascii="Raleway" w:eastAsia="Raleway" w:hAnsi="Raleway" w:cs="Raleway"/>
                <w:color w:val="FF0000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Враховано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Pr="00146D04" w:rsidRDefault="00146D04">
            <w:pPr>
              <w:ind w:right="106"/>
              <w:rPr>
                <w:rFonts w:ascii="Raleway" w:eastAsia="Raleway" w:hAnsi="Raleway" w:cs="Raleway"/>
                <w:color w:val="FF0000"/>
                <w:sz w:val="20"/>
                <w:szCs w:val="20"/>
                <w:lang w:val="uk-UA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Внесено відповідні правки</w:t>
            </w:r>
            <w:r>
              <w:rPr>
                <w:rFonts w:ascii="Raleway" w:eastAsia="Raleway" w:hAnsi="Raleway" w:cs="Raleway"/>
                <w:sz w:val="20"/>
                <w:szCs w:val="20"/>
                <w:lang w:val="uk-UA"/>
              </w:rPr>
              <w:t xml:space="preserve"> до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  <w:lang w:val="uk-UA"/>
              </w:rPr>
              <w:t>проєкту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  <w:lang w:val="uk-UA"/>
              </w:rPr>
              <w:t xml:space="preserve"> Програми</w:t>
            </w:r>
          </w:p>
        </w:tc>
      </w:tr>
      <w:tr w:rsidR="00E22B98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 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Міндовкілля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лист № 25/5-21/20010-23 від 25.12.2023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color w:val="FF0000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ДДП, Звіт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Проєкті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</w:rPr>
              <w:t xml:space="preserve"> та Звіті пропонуємо додатково врахувати наявність: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Національного плану дій з охорони </w:t>
            </w: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>навколишнього природного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середовища на період до 2025 року, затвердженого розпорядженням Кабінету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Міністрів України 21.04.2021 № 443-р;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Плану заходів щодо виконання Концепції реалізації державної політики у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сфері зміни клімату на період до 2030 року, затвердженого розпорядженням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Кабінету Міністрів України від 06.12.2017 № 932-р;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Водної стратегії України на період до 2050 року та плану її реалізації у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2022 - 2024 роках, схвалених розпорядженням Кабінету Міністрів України</w:t>
            </w:r>
          </w:p>
          <w:p w:rsidR="00E22B98" w:rsidRDefault="00B9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від 09.12.2022 № 1134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>Враховано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Внесено відповідні правки до Звіту.</w:t>
            </w:r>
          </w:p>
        </w:tc>
      </w:tr>
      <w:tr w:rsidR="00E22B98">
        <w:trPr>
          <w:trHeight w:val="60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Департамент екології та природних ресурсів Київської обласної державної адміністрації лист №3691-28.06.2-2023 від 18.12.2023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ДДП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Пропонуємо додатково опрацювати у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проєкті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</w:rPr>
              <w:t xml:space="preserve"> Програми більш повне урахування питань охорони довкілля, відновлення та сталого використання природних ресурсів, які мають залишатися серед пріоритетних.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146D04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Враховано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146D04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Внесено відповідні правки</w:t>
            </w:r>
            <w:r>
              <w:rPr>
                <w:rFonts w:ascii="Raleway" w:eastAsia="Raleway" w:hAnsi="Raleway" w:cs="Raleway"/>
                <w:sz w:val="20"/>
                <w:szCs w:val="20"/>
                <w:lang w:val="uk-UA"/>
              </w:rPr>
              <w:t xml:space="preserve"> до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  <w:lang w:val="uk-UA"/>
              </w:rPr>
              <w:t>проєкту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  <w:lang w:val="uk-UA"/>
              </w:rPr>
              <w:t xml:space="preserve"> Програми</w:t>
            </w:r>
          </w:p>
        </w:tc>
      </w:tr>
      <w:tr w:rsidR="00E22B98">
        <w:trPr>
          <w:trHeight w:val="480"/>
        </w:trPr>
        <w:tc>
          <w:tcPr>
            <w:tcW w:w="1479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jc w:val="center"/>
              <w:rPr>
                <w:rFonts w:ascii="Raleway" w:eastAsia="Raleway" w:hAnsi="Raleway" w:cs="Raleway"/>
                <w:b/>
                <w:sz w:val="20"/>
                <w:szCs w:val="20"/>
              </w:rPr>
            </w:pPr>
            <w:r>
              <w:rPr>
                <w:rFonts w:ascii="Raleway" w:eastAsia="Raleway" w:hAnsi="Raleway" w:cs="Raleway"/>
                <w:b/>
                <w:sz w:val="20"/>
                <w:szCs w:val="20"/>
              </w:rPr>
              <w:t>До Звіту СЕО</w:t>
            </w:r>
          </w:p>
        </w:tc>
      </w:tr>
      <w:tr w:rsidR="00E22B98"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 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Міндовкілля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лист № 25/5-21/20010-23 від 25.12.2023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До Звіту розділ 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Зазначена у розділі 5 Звіту інформація «під час розроблення Детального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плану території були враховані законодавчі та нормативні документи…»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потребує взаємоузгодження із назвою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Проєкту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</w:rPr>
              <w:t>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враховано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Розділ 5 скориговано.</w:t>
            </w:r>
          </w:p>
        </w:tc>
      </w:tr>
      <w:tr w:rsidR="00E22B98">
        <w:trPr>
          <w:trHeight w:val="40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 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Міндовкілля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лист № 25/5-21/20010-23 від 25.12.2023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До Звіту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Звертаємо увагу, що ДБН 360-92 «Планування і забудова міських і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сільських поселень» та ДБН Б.2.4-1-94 </w:t>
            </w: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>«Планування і забудова сільських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населених пунктів України», на які є посилання у Звіті, втратили чинність, що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пропонується врахувати.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>враховано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Враховано у Звіті.</w:t>
            </w:r>
          </w:p>
        </w:tc>
      </w:tr>
      <w:tr w:rsidR="00E22B98">
        <w:trPr>
          <w:trHeight w:val="105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 xml:space="preserve"> 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Департамент екології та природних ресурсів Київської обласної державної адміністрації лист №3691-28.06.2-2023 від 18.12.2023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до Звіту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Розділі 1 «Зміст та основні цілі документа державного планування, його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зв’язок із іншими документами державного планування» звіту про стратегічну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екологічну оцінку пропонуємо додатково врахувати положення, конкретні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завдання та заходи, спрямовані на виконання на регіональному рівні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зобов’язань та заходів у сфері охорони довкілля та сталого використання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природних ресурсів, визначених відповідними планами, стратегіями,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програмами та іншими документами загальнодержавного рівня, а також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міжнародними угодами Стороною яких є Україна, у тому числі: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Національним планом дій з охорони навколишнього природного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середовища на період до 2025 року, затвердженого розпорядженням Кабінету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Міністрів України 21.04.2021 № 443-р;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Планом заходів щодо виконання Концепції реалізації державної політики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у сфері зміни клімату на період до 2030 року, затвердженим розпорядженням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Кабінету Міністрів України від 06.12.2017 № 932-р;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Національним планом дій щодо боротьби з деградацією земель та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опустелюванням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</w:rPr>
              <w:t>, затвердженого розпорядженням Кабінету Міністрів України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від 30.03.2016 № 271-р;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рішенням Координаційної ради з питань </w:t>
            </w: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>боротьби з деградацією земель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опустелюванням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</w:rPr>
              <w:t>, створеної згідно з постановою Кабінету Міністрів України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від 18.01.2017 № 20, зокрема стосовно схвалення представлених НААН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добровільних національних завдань щодо досягнення нейтрального рівня деградації земель (далі - НРДЗ) за напрямом «Підтримання вмісту органічної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речовини (гумусу) у ґрунтах» (до 2020 року передбачалося досягнення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стабільного рівня органічного вуглецю (гумусу) у ґрунтах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сільськогосподарських угідь не нижче за базову лінію станом на 2010 рік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(3,14 % в середньому по Україні, у т.ч. у розрізі зон: Полісся - 2,24 %;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Лісостеп - 3,19 %; Степ - 3,40 %), а до 2030 року – планується збільшення не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менше ніж на 0,1 %), а також допоміжних заходів щодо досягнення НРДЗ за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напрямами «Відновлення зрошення і поліпшення еколого-меліоративного стану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зрошуваних земель» та «Відновлення та стале використання торфовищ»;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Стратегією зрошення та дренажу в Україні на період до 2030 року,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затвердженої розпорядженням Кабінету Міністрів України від 14.08.2019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№ 688-р;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Національним планом управління відходами до 2030 року, затвердженим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розпорядженням Кабінету Міністрів України від 20.02.2019 № 117;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Планом заходів з реалізації Стратегії зрошення та дренажу в Україні на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період до 2030 року, затвердженим </w:t>
            </w: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>розпорядженням Кабінету Міністрів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України від 21.10.2020 № 1567-р;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Національною економічною стратегією, затвердженою постановою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Кабінету Міністрів України від 03.03.2021 № 179;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Державною стратегією управління лісами України до 2035 року та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операційним планом її реалізації у 2022 – 2024 роках, затвердженими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розпорядженням Кабінету Міністрів України від 29.12.2021 № 1777-р;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Цілями Сталого Розвитку, затвердженими у 2015 році 70-ю сесією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Генеральної асамблеї ООН (резолюція від 25.09.2015 70/1), серед іншого з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урахуванням Указу Президента України від 30.09.2019 № 722/2019 «Про Цілі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сталого розвитку України на період до 2030 року» та розпорядження Кабінету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Міністрів України від 21.08.2019 № 686-р «Питання збору даних для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моніторингу реалізації цілей сталого розвитку» (далі – моніторинг ЦСР);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Ріо - Конвенціями та іншими міжнародними угодами природоохоронного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спрямування.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Серед іншого, пропонуємо передбачити завдання і заходи щодо: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упорядкування орних земель шляхом виведення з їх складу схилів, земель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 xml:space="preserve">водоохоронних зон,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ерозійно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</w:rPr>
              <w:t xml:space="preserve"> небезпечних та інших непридатних для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розорювання угідь;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відтворення лісів, створення нових та реконструкції існуючих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полезахисних лісових смуг та інших захисних насаджень;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 xml:space="preserve">відновлення торфовищ, лучних, водно-болотних та інших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антропогенно</w:t>
            </w:r>
            <w:proofErr w:type="spellEnd"/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змінених екосистем;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створення і відновлення сіножатей та пасовищ;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створення територій та об’єктів природно-заповідного фонду.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Ураховуючи зазначене, пропонуємо вжити заходів щодо забезпечення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дотримання вимог Закону та усунення порушень.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>враховано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Внесено відповідні правки в Звіт щодо врахування наявності перелічених документів.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Зауважимо, що розділ 1 «Зміст та основні цілі документа державного планування, його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зв’язок із іншими документами державного планування» не може бути скоригований в розрізі з змісту та цілей документу державного планування, оскільки ці цілі передбачені ДДП. Пропозиції до заходів ДДП викладені в розділі 8 Звіту.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Щодо Державної стратегії управління лісами України до 2035 та операційного плану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реалізації у 2022-2024 роках Державної стратегії управління лісами України до 2035 року, то у зазначених документах не передбачені заходи, відповідальність за реалізацію яких покладено на ОМС.</w:t>
            </w:r>
            <w:r>
              <w:rPr>
                <w:rFonts w:ascii="Raleway" w:eastAsia="Raleway" w:hAnsi="Raleway" w:cs="Raleway"/>
                <w:sz w:val="20"/>
                <w:szCs w:val="20"/>
              </w:rPr>
              <w:br/>
            </w:r>
            <w:r>
              <w:rPr>
                <w:rFonts w:ascii="Raleway" w:eastAsia="Raleway" w:hAnsi="Raleway" w:cs="Raleway"/>
                <w:sz w:val="20"/>
                <w:szCs w:val="20"/>
              </w:rPr>
              <w:br/>
              <w:t>Щодо Національного плану управління відходами до 2030 року, затвердженого розпорядженням Кабінету Міністрів України від 20.02.2019 N2 1 17 органи місцевого самоврядування визначаються відповідальними за ряд заходів за згодою.</w:t>
            </w:r>
            <w:r>
              <w:rPr>
                <w:rFonts w:ascii="Raleway" w:eastAsia="Raleway" w:hAnsi="Raleway" w:cs="Raleway"/>
                <w:sz w:val="20"/>
                <w:szCs w:val="20"/>
              </w:rPr>
              <w:br/>
            </w:r>
            <w:r>
              <w:rPr>
                <w:rFonts w:ascii="Raleway" w:eastAsia="Raleway" w:hAnsi="Raleway" w:cs="Raleway"/>
                <w:sz w:val="20"/>
                <w:szCs w:val="20"/>
              </w:rPr>
              <w:br/>
              <w:t xml:space="preserve">Щодо Національного плану дій щодо боротьби з деградацією земель та </w:t>
            </w:r>
            <w:proofErr w:type="spellStart"/>
            <w:r>
              <w:rPr>
                <w:rFonts w:ascii="Raleway" w:eastAsia="Raleway" w:hAnsi="Raleway" w:cs="Raleway"/>
                <w:sz w:val="20"/>
                <w:szCs w:val="20"/>
              </w:rPr>
              <w:t>опустелюванням</w:t>
            </w:r>
            <w:proofErr w:type="spellEnd"/>
            <w:r>
              <w:rPr>
                <w:rFonts w:ascii="Raleway" w:eastAsia="Raleway" w:hAnsi="Raleway" w:cs="Raleway"/>
                <w:sz w:val="20"/>
                <w:szCs w:val="20"/>
              </w:rPr>
              <w:t xml:space="preserve"> ОМС не визначені як суб'єкти, відповідальні за реалізацію передбачених заходів.</w:t>
            </w:r>
            <w:r>
              <w:rPr>
                <w:rFonts w:ascii="Raleway" w:eastAsia="Raleway" w:hAnsi="Raleway" w:cs="Raleway"/>
                <w:sz w:val="20"/>
                <w:szCs w:val="20"/>
              </w:rPr>
              <w:br/>
            </w:r>
            <w:r>
              <w:rPr>
                <w:rFonts w:ascii="Raleway" w:eastAsia="Raleway" w:hAnsi="Raleway" w:cs="Raleway"/>
                <w:sz w:val="20"/>
                <w:szCs w:val="20"/>
              </w:rPr>
              <w:br/>
              <w:t xml:space="preserve">Щодо Плану заходів з реалізації Стратегії зрошення та дренажу в Україні на період до 2030 року ОМС не визначені як суб'єкти, </w:t>
            </w: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>відповідальні за реалізацію передбачених заходів.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Рекомендовано громаді звернути увагу на перелічені документ та заходи, пропоновані для реалізації за згодою для ОМС.</w:t>
            </w:r>
          </w:p>
        </w:tc>
      </w:tr>
      <w:tr w:rsidR="00E22B98">
        <w:trPr>
          <w:trHeight w:val="60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lastRenderedPageBreak/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Департамент екології та природних ресурсів Київської обласної державної адміністрації лист №3691-28.06.2-2023 від 18.12.2023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до звіту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Додатково повідомляємо, що згідно із статтею 3 Закону України «Про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оцінку впливу на довкілля» здійснення оцінки впливу на довкілля є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обов'язковим у процесі прийняття рішень про провадження планованої діяльності, визначеної частинами другою і третьою цієї статті. Така планована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діяльність підлягає оцінці впливу на довкілля до прийняття рішення про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провадження планованої діяльності. Частиною четвертою статті з зазначеного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Закону заборонено розпочинати провадження планованої діяльності, визначеної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частинами другою і третьою цієї статті, без оцінки впливу на довкілля та</w:t>
            </w:r>
          </w:p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отримання рішення про провадження планованої діяльності.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враховано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ind w:left="141"/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В розділі 5 звіту наведено перелік заходів, які ймовірно підпадають під оцінку впливу на довкілля.</w:t>
            </w:r>
          </w:p>
        </w:tc>
      </w:tr>
    </w:tbl>
    <w:p w:rsidR="00E22B98" w:rsidRDefault="00E22B98">
      <w:pPr>
        <w:ind w:left="141"/>
        <w:rPr>
          <w:rFonts w:ascii="Raleway" w:eastAsia="Raleway" w:hAnsi="Raleway" w:cs="Raleway"/>
          <w:color w:val="FF0000"/>
          <w:sz w:val="20"/>
          <w:szCs w:val="20"/>
        </w:rPr>
      </w:pPr>
    </w:p>
    <w:p w:rsidR="00E22B98" w:rsidRDefault="00E22B98">
      <w:pPr>
        <w:ind w:left="141"/>
        <w:rPr>
          <w:rFonts w:ascii="Raleway" w:eastAsia="Raleway" w:hAnsi="Raleway" w:cs="Raleway"/>
          <w:sz w:val="20"/>
          <w:szCs w:val="20"/>
        </w:rPr>
      </w:pPr>
    </w:p>
    <w:p w:rsidR="00E22B98" w:rsidRDefault="00B908A1">
      <w:pPr>
        <w:ind w:left="141" w:right="-987"/>
        <w:jc w:val="left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Серед розглянутих альтернатив були: </w:t>
      </w:r>
    </w:p>
    <w:p w:rsidR="00E22B98" w:rsidRDefault="00B908A1">
      <w:pPr>
        <w:widowControl w:val="0"/>
        <w:tabs>
          <w:tab w:val="left" w:pos="1796"/>
          <w:tab w:val="right" w:pos="9629"/>
        </w:tabs>
        <w:ind w:right="-134" w:firstLine="709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перша “нульова” альтернатива - розглядався базовий варіант розвитку громади, який не передбачає впровадження заходів Програми. Прогнозні зміни стану довкілля, якщо Програма не буде затверджено, розглянуто в розділі 2.</w:t>
      </w:r>
    </w:p>
    <w:p w:rsidR="00E22B98" w:rsidRDefault="00B908A1">
      <w:pPr>
        <w:widowControl w:val="0"/>
        <w:tabs>
          <w:tab w:val="left" w:pos="1796"/>
          <w:tab w:val="right" w:pos="9629"/>
        </w:tabs>
        <w:ind w:right="-134" w:firstLine="709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друга альтернатива - як друга альтернатива розглядався проект ДДП;</w:t>
      </w:r>
    </w:p>
    <w:p w:rsidR="00E22B98" w:rsidRDefault="00B908A1">
      <w:pPr>
        <w:widowControl w:val="0"/>
        <w:tabs>
          <w:tab w:val="left" w:pos="1796"/>
          <w:tab w:val="right" w:pos="9629"/>
        </w:tabs>
        <w:ind w:right="-134" w:firstLine="709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третя альтернатива - сформована за результатами аналізу Програми та отриманих зауважень та пропозицій, що надійшли під час </w:t>
      </w:r>
      <w:r>
        <w:rPr>
          <w:rFonts w:ascii="Raleway" w:eastAsia="Raleway" w:hAnsi="Raleway" w:cs="Raleway"/>
        </w:rPr>
        <w:lastRenderedPageBreak/>
        <w:t>процедури стратегічної екологічної оцінки,</w:t>
      </w:r>
    </w:p>
    <w:p w:rsidR="00E22B98" w:rsidRDefault="00B908A1">
      <w:pPr>
        <w:ind w:left="141" w:right="-987" w:firstLine="577"/>
        <w:jc w:val="left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В процесі СЕО було надано пропозиції до проекту ДДП, які частково враховано в Програмі, а також частково враховані пропозиції, надані в третій альтернативі, таким чином сформовано остаточний варіант ДДП, який буде затверджено сесією Бориспільською міською радою.</w:t>
      </w:r>
    </w:p>
    <w:p w:rsidR="00E22B98" w:rsidRDefault="00B908A1">
      <w:pPr>
        <w:ind w:left="141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 </w:t>
      </w:r>
    </w:p>
    <w:p w:rsidR="00E22B98" w:rsidRPr="00B908A1" w:rsidRDefault="00B908A1" w:rsidP="00971A3E">
      <w:pPr>
        <w:ind w:left="141"/>
        <w:jc w:val="left"/>
        <w:rPr>
          <w:rFonts w:ascii="Raleway" w:eastAsia="Raleway" w:hAnsi="Raleway" w:cs="Raleway"/>
          <w:color w:val="FF0000"/>
          <w:sz w:val="20"/>
          <w:szCs w:val="20"/>
          <w:lang w:val="uk-UA"/>
        </w:rPr>
        <w:sectPr w:rsidR="00E22B98" w:rsidRPr="00B908A1">
          <w:pgSz w:w="16834" w:h="11909" w:orient="landscape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Raleway" w:eastAsia="Raleway" w:hAnsi="Raleway" w:cs="Raleway"/>
          <w:lang w:val="uk-UA"/>
        </w:rPr>
        <w:t xml:space="preserve">Виконавчий комітет </w:t>
      </w:r>
      <w:proofErr w:type="spellStart"/>
      <w:r>
        <w:rPr>
          <w:rFonts w:ascii="Raleway" w:eastAsia="Raleway" w:hAnsi="Raleway" w:cs="Raleway"/>
        </w:rPr>
        <w:t>Бориспільськ</w:t>
      </w:r>
      <w:r>
        <w:rPr>
          <w:rFonts w:ascii="Raleway" w:eastAsia="Raleway" w:hAnsi="Raleway" w:cs="Raleway"/>
          <w:lang w:val="uk-UA"/>
        </w:rPr>
        <w:t>ої</w:t>
      </w:r>
      <w:proofErr w:type="spellEnd"/>
      <w:r>
        <w:rPr>
          <w:rFonts w:ascii="Raleway" w:eastAsia="Raleway" w:hAnsi="Raleway" w:cs="Raleway"/>
        </w:rPr>
        <w:t xml:space="preserve"> </w:t>
      </w:r>
      <w:proofErr w:type="spellStart"/>
      <w:r>
        <w:rPr>
          <w:rFonts w:ascii="Raleway" w:eastAsia="Raleway" w:hAnsi="Raleway" w:cs="Raleway"/>
        </w:rPr>
        <w:t>міськ</w:t>
      </w:r>
      <w:r>
        <w:rPr>
          <w:rFonts w:ascii="Raleway" w:eastAsia="Raleway" w:hAnsi="Raleway" w:cs="Raleway"/>
          <w:lang w:val="uk-UA"/>
        </w:rPr>
        <w:t>ої</w:t>
      </w:r>
      <w:proofErr w:type="spellEnd"/>
      <w:r>
        <w:rPr>
          <w:rFonts w:ascii="Raleway" w:eastAsia="Raleway" w:hAnsi="Raleway" w:cs="Raleway"/>
        </w:rPr>
        <w:t xml:space="preserve">  рад</w:t>
      </w:r>
      <w:r>
        <w:rPr>
          <w:rFonts w:ascii="Raleway" w:eastAsia="Raleway" w:hAnsi="Raleway" w:cs="Raleway"/>
          <w:lang w:val="uk-UA"/>
        </w:rPr>
        <w:t>и</w:t>
      </w:r>
    </w:p>
    <w:p w:rsidR="00E22B98" w:rsidRDefault="00B908A1">
      <w:pPr>
        <w:ind w:left="-1559"/>
        <w:rPr>
          <w:rFonts w:ascii="Raleway" w:eastAsia="Raleway" w:hAnsi="Raleway" w:cs="Raleway"/>
          <w:color w:val="FF0000"/>
          <w:sz w:val="22"/>
          <w:szCs w:val="22"/>
        </w:rPr>
      </w:pPr>
      <w:r>
        <w:rPr>
          <w:rFonts w:ascii="Raleway" w:eastAsia="Raleway" w:hAnsi="Raleway" w:cs="Raleway"/>
        </w:rPr>
        <w:lastRenderedPageBreak/>
        <w:t>Додаток 1. до Довідки про консультації з органами виконавчої влади у процесі стратегічної екологічної оцінки документу державного планування “Програма соціально-економічного та культурного розвитку Бориспільської міської територіальної громади  на 2024-2026 роки”</w:t>
      </w:r>
    </w:p>
    <w:p w:rsidR="00E22B98" w:rsidRDefault="00E22B98">
      <w:pPr>
        <w:ind w:left="-1559"/>
        <w:rPr>
          <w:color w:val="FF0000"/>
        </w:rPr>
      </w:pPr>
    </w:p>
    <w:tbl>
      <w:tblPr>
        <w:tblStyle w:val="a6"/>
        <w:tblW w:w="10906" w:type="dxa"/>
        <w:tblInd w:w="-1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53"/>
        <w:gridCol w:w="5453"/>
      </w:tblGrid>
      <w:tr w:rsidR="00E22B98">
        <w:tc>
          <w:tcPr>
            <w:tcW w:w="5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FF0000"/>
              </w:rPr>
            </w:pPr>
            <w:r>
              <w:rPr>
                <w:noProof/>
                <w:color w:val="FF0000"/>
                <w:lang w:val="ru-RU" w:eastAsia="ru-RU"/>
              </w:rPr>
              <w:drawing>
                <wp:inline distT="114300" distB="114300" distL="114300" distR="114300">
                  <wp:extent cx="3324225" cy="4699000"/>
                  <wp:effectExtent l="0" t="0" r="0" b="0"/>
                  <wp:docPr id="5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4699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FF0000"/>
              </w:rPr>
            </w:pPr>
            <w:r>
              <w:rPr>
                <w:noProof/>
                <w:color w:val="FF0000"/>
                <w:lang w:val="ru-RU" w:eastAsia="ru-RU"/>
              </w:rPr>
              <w:drawing>
                <wp:inline distT="114300" distB="114300" distL="114300" distR="114300">
                  <wp:extent cx="3324225" cy="4699000"/>
                  <wp:effectExtent l="0" t="0" r="0" b="0"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4699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B98">
        <w:tc>
          <w:tcPr>
            <w:tcW w:w="5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FF0000"/>
              </w:rPr>
            </w:pPr>
            <w:r>
              <w:rPr>
                <w:noProof/>
                <w:color w:val="FF0000"/>
                <w:lang w:val="ru-RU" w:eastAsia="ru-RU"/>
              </w:rPr>
              <w:lastRenderedPageBreak/>
              <w:drawing>
                <wp:inline distT="114300" distB="114300" distL="114300" distR="114300">
                  <wp:extent cx="3324225" cy="4699000"/>
                  <wp:effectExtent l="0" t="0" r="0" b="0"/>
                  <wp:docPr id="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4699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FF0000"/>
              </w:rPr>
            </w:pPr>
            <w:r>
              <w:rPr>
                <w:noProof/>
                <w:color w:val="FF0000"/>
                <w:lang w:val="ru-RU" w:eastAsia="ru-RU"/>
              </w:rPr>
              <w:drawing>
                <wp:inline distT="114300" distB="114300" distL="114300" distR="114300">
                  <wp:extent cx="3324225" cy="4699000"/>
                  <wp:effectExtent l="0" t="0" r="0" b="0"/>
                  <wp:docPr id="4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4699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B98">
        <w:tc>
          <w:tcPr>
            <w:tcW w:w="5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B90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FF0000"/>
              </w:rPr>
            </w:pPr>
            <w:r>
              <w:rPr>
                <w:noProof/>
                <w:color w:val="FF0000"/>
                <w:lang w:val="ru-RU" w:eastAsia="ru-RU"/>
              </w:rPr>
              <w:drawing>
                <wp:inline distT="114300" distB="114300" distL="114300" distR="114300">
                  <wp:extent cx="3324225" cy="4699000"/>
                  <wp:effectExtent l="0" t="0" r="0" 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4699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B98" w:rsidRDefault="00E22B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FF0000"/>
              </w:rPr>
            </w:pPr>
          </w:p>
        </w:tc>
      </w:tr>
    </w:tbl>
    <w:p w:rsidR="00E22B98" w:rsidRDefault="00E22B98">
      <w:pPr>
        <w:ind w:left="-1559"/>
        <w:rPr>
          <w:color w:val="FF0000"/>
        </w:rPr>
      </w:pPr>
    </w:p>
    <w:sectPr w:rsidR="00E22B98">
      <w:pgSz w:w="11909" w:h="16834"/>
      <w:pgMar w:top="426" w:right="720" w:bottom="566" w:left="18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uni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98"/>
    <w:rsid w:val="00146D04"/>
    <w:rsid w:val="00971A3E"/>
    <w:rsid w:val="00B908A1"/>
    <w:rsid w:val="00BB091C"/>
    <w:rsid w:val="00E2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unito" w:eastAsia="Nunito" w:hAnsi="Nunito" w:cs="Nunito"/>
        <w:sz w:val="24"/>
        <w:szCs w:val="24"/>
        <w:lang w:val="uk" w:eastAsia="uk-UA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50"/>
      <w:ind w:left="720" w:hanging="360"/>
      <w:outlineLvl w:val="0"/>
    </w:pPr>
    <w:rPr>
      <w:color w:val="274E13"/>
      <w:sz w:val="30"/>
      <w:szCs w:val="30"/>
    </w:rPr>
  </w:style>
  <w:style w:type="paragraph" w:styleId="2">
    <w:name w:val="heading 2"/>
    <w:basedOn w:val="a"/>
    <w:next w:val="a"/>
    <w:pPr>
      <w:keepNext/>
      <w:keepLines/>
      <w:spacing w:before="360" w:after="120"/>
      <w:ind w:left="720"/>
      <w:outlineLvl w:val="1"/>
    </w:pPr>
    <w:rPr>
      <w:color w:val="274E13"/>
      <w:sz w:val="30"/>
      <w:szCs w:val="30"/>
    </w:rPr>
  </w:style>
  <w:style w:type="paragraph" w:styleId="3">
    <w:name w:val="heading 3"/>
    <w:basedOn w:val="a"/>
    <w:next w:val="a"/>
    <w:pPr>
      <w:keepNext/>
      <w:keepLines/>
      <w:outlineLvl w:val="2"/>
    </w:pPr>
    <w:rPr>
      <w:i/>
      <w:color w:val="274E13"/>
      <w:highlight w:val="white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91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BB09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7">
    <w:name w:val="Hyperlink"/>
    <w:rsid w:val="00BB091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71A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1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unito" w:eastAsia="Nunito" w:hAnsi="Nunito" w:cs="Nunito"/>
        <w:sz w:val="24"/>
        <w:szCs w:val="24"/>
        <w:lang w:val="uk" w:eastAsia="uk-UA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50"/>
      <w:ind w:left="720" w:hanging="360"/>
      <w:outlineLvl w:val="0"/>
    </w:pPr>
    <w:rPr>
      <w:color w:val="274E13"/>
      <w:sz w:val="30"/>
      <w:szCs w:val="30"/>
    </w:rPr>
  </w:style>
  <w:style w:type="paragraph" w:styleId="2">
    <w:name w:val="heading 2"/>
    <w:basedOn w:val="a"/>
    <w:next w:val="a"/>
    <w:pPr>
      <w:keepNext/>
      <w:keepLines/>
      <w:spacing w:before="360" w:after="120"/>
      <w:ind w:left="720"/>
      <w:outlineLvl w:val="1"/>
    </w:pPr>
    <w:rPr>
      <w:color w:val="274E13"/>
      <w:sz w:val="30"/>
      <w:szCs w:val="30"/>
    </w:rPr>
  </w:style>
  <w:style w:type="paragraph" w:styleId="3">
    <w:name w:val="heading 3"/>
    <w:basedOn w:val="a"/>
    <w:next w:val="a"/>
    <w:pPr>
      <w:keepNext/>
      <w:keepLines/>
      <w:outlineLvl w:val="2"/>
    </w:pPr>
    <w:rPr>
      <w:i/>
      <w:color w:val="274E13"/>
      <w:highlight w:val="white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91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BB09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7">
    <w:name w:val="Hyperlink"/>
    <w:rsid w:val="00BB091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71A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1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ispol@i.com.ua" TargetMode="External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hyperlink" Target="http://www.borispol" TargetMode="External"/><Relationship Id="rId12" Type="http://schemas.openxmlformats.org/officeDocument/2006/relationships/image" Target="media/image5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1750</Words>
  <Characters>9975</Characters>
  <Application>Microsoft Office Word</Application>
  <DocSecurity>0</DocSecurity>
  <Lines>83</Lines>
  <Paragraphs>23</Paragraphs>
  <ScaleCrop>false</ScaleCrop>
  <Company/>
  <LinksUpToDate>false</LinksUpToDate>
  <CharactersWithSpaces>11702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2024-01-29T07:49:00Z</dcterms:created>
  <dcterms:modified xsi:type="dcterms:W3CDTF">2024-02-22T09:36:00Z</dcterms:modified>
</cp:coreProperties>
</file>