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2773"/>
        <w:gridCol w:w="3598"/>
        <w:gridCol w:w="3289"/>
      </w:tblGrid>
      <w:tr w:rsidR="00F367A0" w:rsidRPr="00E5462F" w:rsidTr="005156CC">
        <w:trPr>
          <w:trHeight w:val="144"/>
        </w:trPr>
        <w:tc>
          <w:tcPr>
            <w:tcW w:w="277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367A0" w:rsidRPr="00E5462F" w:rsidRDefault="00F367A0" w:rsidP="00F367A0">
            <w:pPr>
              <w:spacing w:after="0" w:line="240" w:lineRule="auto"/>
              <w:ind w:left="-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298E97" wp14:editId="63501DA8">
                  <wp:extent cx="1333500" cy="1238250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367A0" w:rsidRPr="00E5462F" w:rsidRDefault="00F367A0" w:rsidP="00F3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Код Порталу ДІЯ</w:t>
            </w:r>
          </w:p>
        </w:tc>
        <w:tc>
          <w:tcPr>
            <w:tcW w:w="32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367A0" w:rsidRPr="00E5462F" w:rsidRDefault="008E31B6" w:rsidP="00F3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02418</w:t>
            </w:r>
          </w:p>
        </w:tc>
      </w:tr>
      <w:tr w:rsidR="00F367A0" w:rsidRPr="00E5462F" w:rsidTr="005156CC">
        <w:trPr>
          <w:trHeight w:val="925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8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367A0" w:rsidRPr="00E5462F" w:rsidRDefault="00F367A0" w:rsidP="00F367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F367A0" w:rsidRPr="00E5462F" w:rsidRDefault="00F367A0" w:rsidP="00F367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БОРИСПІЛЬСЬКОЇ МІСЬКОЇ РАДИ</w:t>
            </w:r>
          </w:p>
        </w:tc>
      </w:tr>
      <w:tr w:rsidR="00F367A0" w:rsidRPr="00E5462F" w:rsidTr="005156CC">
        <w:trPr>
          <w:trHeight w:val="57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8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367A0" w:rsidRPr="00E5462F" w:rsidRDefault="00F367A0" w:rsidP="00F367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ІНФОРМАЦІЙНА КАРТКА</w:t>
            </w:r>
          </w:p>
        </w:tc>
      </w:tr>
      <w:tr w:rsidR="00F367A0" w:rsidRPr="00E5462F" w:rsidTr="005156CC">
        <w:trPr>
          <w:trHeight w:val="134"/>
        </w:trPr>
        <w:tc>
          <w:tcPr>
            <w:tcW w:w="966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F367A0" w:rsidRPr="00E5462F" w:rsidRDefault="008E31B6" w:rsidP="00F3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 СПРИЧИНЕНИХ ВІЙСЬКОВОЮ АГРЕСІЄЮ РОСІЙСЬКОЇ ФЕДЕРАЦІЇ </w:t>
            </w:r>
          </w:p>
        </w:tc>
      </w:tr>
    </w:tbl>
    <w:p w:rsidR="00F367A0" w:rsidRPr="00E5462F" w:rsidRDefault="00F367A0" w:rsidP="00F3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F367A0" w:rsidRPr="00E5462F" w:rsidTr="0022379A">
        <w:trPr>
          <w:trHeight w:val="341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1. Місцезнаходження </w:t>
            </w:r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Центру надання адміністративних послуг (</w:t>
            </w:r>
            <w:proofErr w:type="spellStart"/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ЦНАПу</w:t>
            </w:r>
            <w:proofErr w:type="spellEnd"/>
            <w:r w:rsidRPr="00E5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Київський Шлях, 72 місто Бориспіль Київської області, кім. № 101</w:t>
            </w:r>
          </w:p>
        </w:tc>
      </w:tr>
      <w:tr w:rsidR="00F367A0" w:rsidRPr="00E5462F" w:rsidTr="0022379A">
        <w:trPr>
          <w:trHeight w:val="475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2. Інформація щодо режиму роботи </w:t>
            </w:r>
            <w:proofErr w:type="spellStart"/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ЦНАПу</w:t>
            </w:r>
            <w:proofErr w:type="spellEnd"/>
          </w:p>
          <w:p w:rsidR="008E31B6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Понеді</w:t>
            </w:r>
            <w:r w:rsidR="008E31B6"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лок – четвер: з 08.00 до 17.15</w:t>
            </w:r>
          </w:p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П’ятниця: з 08.00 до 16.00 </w:t>
            </w:r>
          </w:p>
        </w:tc>
      </w:tr>
      <w:tr w:rsidR="00F367A0" w:rsidRPr="0062710B" w:rsidTr="0022379A">
        <w:trPr>
          <w:trHeight w:val="198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3. Телефон/факс (довідки), адреса електронної пошти та веб-сайт Бориспільської міської ради </w:t>
            </w:r>
            <w:proofErr w:type="spellStart"/>
            <w:r w:rsidR="0073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</w:t>
            </w: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ел</w:t>
            </w:r>
            <w:proofErr w:type="spellEnd"/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.: (04595) 5-58-25, 5-58-26, 5-58-27</w:t>
            </w:r>
          </w:p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Електронна адреса  </w:t>
            </w:r>
            <w:hyperlink r:id="rId6" w:history="1">
              <w:r w:rsidRPr="00E546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inf@borispol-rada.gov.ua</w:t>
              </w:r>
            </w:hyperlink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546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Веб-сайт: </w:t>
            </w:r>
            <w:r w:rsidRPr="00E546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borispol-rada.gov.ua</w:t>
            </w:r>
          </w:p>
        </w:tc>
      </w:tr>
      <w:tr w:rsidR="00F367A0" w:rsidRPr="00E5462F" w:rsidTr="0022379A">
        <w:trPr>
          <w:trHeight w:val="545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4. Нормативні акти, якими регламентується надання адміністративної послуги та підстави для отримання адміністративної послуги</w:t>
            </w:r>
          </w:p>
          <w:p w:rsidR="00552A26" w:rsidRPr="00E5462F" w:rsidRDefault="008E31B6" w:rsidP="00E54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Постанова </w:t>
            </w:r>
            <w:r w:rsidR="00E5462F"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Кабінету Міністрів України </w:t>
            </w:r>
            <w:r w:rsidRPr="00E546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від 26.03.2022 № 380</w:t>
            </w:r>
            <w:r w:rsidRPr="00E5462F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5462F" w:rsidRPr="00E5462F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E546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 w:rsidR="00E5462F" w:rsidRPr="00E546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», </w:t>
            </w:r>
            <w:hyperlink r:id="rId7" w:anchor="Text" w:tgtFrame="_blank" w:history="1">
              <w:r w:rsidR="00552A26" w:rsidRPr="00E5462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Указ Президента від 24.02.2022 №</w:t>
              </w:r>
              <w:r w:rsidR="00E5462F" w:rsidRPr="00E5462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64 «</w:t>
              </w:r>
              <w:r w:rsidR="00552A26" w:rsidRPr="00E5462F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Про введення воєнного стану в Україні</w:t>
              </w:r>
            </w:hyperlink>
            <w:r w:rsidR="00E5462F" w:rsidRPr="00E5462F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val="none"/>
                <w:shd w:val="clear" w:color="auto" w:fill="FFFFFF"/>
                <w:lang w:val="uk-UA"/>
              </w:rPr>
              <w:t>»</w:t>
            </w:r>
          </w:p>
        </w:tc>
      </w:tr>
      <w:tr w:rsidR="00F367A0" w:rsidRPr="00E5462F" w:rsidTr="0022379A">
        <w:trPr>
          <w:trHeight w:val="1023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5. Вичерпний перелік документів, необхідних для отримання адміністративної послуги, а також вимоги до них</w:t>
            </w:r>
          </w:p>
          <w:p w:rsidR="00F367A0" w:rsidRPr="00E5462F" w:rsidRDefault="00DA476E" w:rsidP="00E5462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546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Інформаційне повідомлення, яке формується з використанням Порталу Дія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Інформаційне повідомлення повинне містити такі дані:</w:t>
            </w:r>
          </w:p>
          <w:p w:rsidR="00E5462F" w:rsidRPr="00E5462F" w:rsidRDefault="00E5462F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113"/>
            <w:bookmarkEnd w:id="0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 </w:t>
            </w:r>
            <w:r w:rsidR="007E2CC3"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фізичних осіб - прізвище, власне ім’я, по батькові (за наявності) особи; </w:t>
            </w:r>
          </w:p>
          <w:p w:rsidR="00E5462F" w:rsidRPr="00E5462F" w:rsidRDefault="007E2CC3" w:rsidP="00E5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 юридичних осіб - про організаційно-правову форму, найменування юридичної особи;</w:t>
            </w:r>
            <w:bookmarkStart w:id="1" w:name="n114"/>
            <w:bookmarkEnd w:id="1"/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 для фізичних осіб - реєстраційний номер облікової картки платника податків особи (у</w:t>
            </w:r>
            <w:r w:rsidR="00F87F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разі подання з використанням мобільного додатка Порталу Дія (Дія) або серію (за</w:t>
            </w:r>
            <w:r w:rsidR="00F87F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наявності)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державному органу і мають відмітку в паспорті) (у разі подання через Портал Дія), унікальний номер запису в Єдиному державному демографічному реєстрі (за наявності); для юридичних осіб - ідентифікаційний код згідно з ЄДРПОУ;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115"/>
            <w:bookmarkEnd w:id="2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 контактні дані особи (номер телефону, адреса електронної пошти);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116"/>
            <w:bookmarkEnd w:id="3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4) відомості про нерухоме майно: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n117"/>
            <w:bookmarkEnd w:id="4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 нерухомого майна;</w:t>
            </w:r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" w:name="n118"/>
            <w:bookmarkEnd w:id="5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загальну площу нерухомого майна (протяжність - для лінійних об’єктів інженерно-транспортної інфраструктури). У разі відсутності точної інформації щодо загальної площі, протяжності нерухомого майна зазначається орієнтовна площа, протяжність;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n119"/>
            <w:bookmarkEnd w:id="6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адресу (місцезнаходження) нерухомого майна;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" w:name="n120"/>
            <w:bookmarkEnd w:id="7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інформацію про те, що нерухоме майно є об’єктом культурної спадщини (у разі потреби);</w:t>
            </w:r>
          </w:p>
          <w:p w:rsidR="007E2CC3" w:rsidRPr="00E5462F" w:rsidRDefault="007E2CC3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n121"/>
            <w:bookmarkEnd w:id="8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технічні характеристики нерухомого майна (за наявності);</w:t>
            </w:r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n122"/>
            <w:bookmarkEnd w:id="9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 власності нерухомого майна;</w:t>
            </w:r>
          </w:p>
          <w:p w:rsidR="007E2CC3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n123"/>
            <w:bookmarkEnd w:id="10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наявність/відсутність статусу пам’ятки культурної спадщини;</w:t>
            </w:r>
          </w:p>
          <w:p w:rsidR="0062710B" w:rsidRPr="00E5462F" w:rsidRDefault="0062710B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n124"/>
            <w:bookmarkEnd w:id="11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5) відомості про кількість осіб, що проживали в нерухомому майні (для житлового фонду);</w:t>
            </w:r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n125"/>
            <w:bookmarkEnd w:id="12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6) відомості про пошкодження або знищення нерухомого майна (дата та орієнтовний час настання події, опис пошкодження, зокрема площа або протяжність пошкодженого нерухомого майна, фото-, </w:t>
            </w:r>
            <w:proofErr w:type="spellStart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відеофіксація</w:t>
            </w:r>
            <w:proofErr w:type="spellEnd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наявності).</w:t>
            </w:r>
          </w:p>
          <w:p w:rsidR="007E2CC3" w:rsidRPr="00E5462F" w:rsidRDefault="007E2CC3" w:rsidP="00F8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n126"/>
            <w:bookmarkEnd w:id="13"/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Інформація, зазначена у </w:t>
            </w:r>
            <w:hyperlink r:id="rId8" w:anchor="n116" w:history="1">
              <w:r w:rsidRPr="00E5462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підпункті 4</w:t>
              </w:r>
            </w:hyperlink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цього пункту, отримується/ підтверджується з Державного реєстру речових прав на нерухоме майно (за наявності).</w:t>
            </w:r>
          </w:p>
        </w:tc>
      </w:tr>
      <w:tr w:rsidR="00F367A0" w:rsidRPr="00E5462F" w:rsidTr="0022379A">
        <w:trPr>
          <w:trHeight w:val="25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E54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6. Порядок та спосіб подання документів, необхідних для отримання адміністративної послуги</w:t>
            </w:r>
          </w:p>
          <w:p w:rsidR="00E5462F" w:rsidRDefault="00DA476E" w:rsidP="00E546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46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Через Єдиний державний веб-портал електронних послуг, зокрема з використанням мобільного додатка Порталу Дія</w:t>
            </w:r>
            <w:r w:rsidR="00E5462F" w:rsidRPr="00E546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 xml:space="preserve"> </w:t>
            </w:r>
            <w:hyperlink r:id="rId9" w:history="1">
              <w:r w:rsidR="00E5462F" w:rsidRPr="00E546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</w:rPr>
                <w:t>https://diia.gov.ua/services/poshkodzhene-majno</w:t>
              </w:r>
            </w:hyperlink>
            <w:r w:rsidR="00E5462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A476E" w:rsidRPr="00E5462F" w:rsidRDefault="00DA476E" w:rsidP="00E546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Центр надання адміністративних послуг</w:t>
            </w:r>
          </w:p>
          <w:p w:rsidR="00F367A0" w:rsidRPr="00E5462F" w:rsidRDefault="00DA476E" w:rsidP="00E546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Нотаріуси</w:t>
            </w:r>
          </w:p>
        </w:tc>
      </w:tr>
      <w:tr w:rsidR="00F367A0" w:rsidRPr="00E5462F" w:rsidTr="0022379A">
        <w:trPr>
          <w:trHeight w:val="25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7. Платність (безоплатність) надання адміністративної послуги</w:t>
            </w:r>
          </w:p>
          <w:p w:rsidR="00E5462F" w:rsidRPr="00E5462F" w:rsidRDefault="00F367A0" w:rsidP="00E54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F367A0" w:rsidRPr="00E5462F" w:rsidTr="0022379A">
        <w:trPr>
          <w:trHeight w:val="38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8. Строк надання адміністративної послуги</w:t>
            </w:r>
          </w:p>
          <w:p w:rsidR="00F367A0" w:rsidRPr="00E5462F" w:rsidRDefault="00552A26" w:rsidP="00552A26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 (1 календарний день</w:t>
            </w:r>
            <w:r w:rsidR="00F367A0" w:rsidRPr="00E54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F367A0" w:rsidRPr="00E5462F" w:rsidTr="0022379A">
        <w:trPr>
          <w:trHeight w:val="129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7E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 Результат надання адміністративної послуги</w:t>
            </w:r>
          </w:p>
          <w:p w:rsidR="00DA476E" w:rsidRPr="00E5462F" w:rsidRDefault="00E5462F" w:rsidP="00E5462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uk-UA"/>
              </w:rPr>
            </w:pPr>
            <w:r w:rsidRPr="00E5462F">
              <w:rPr>
                <w:color w:val="333333"/>
                <w:lang w:val="uk-UA"/>
              </w:rPr>
              <w:t>Автоматичне повідомлення засобами Порталу Дія про реєстрацію поданого інформаційного повідомлення</w:t>
            </w:r>
          </w:p>
        </w:tc>
      </w:tr>
      <w:tr w:rsidR="00F367A0" w:rsidRPr="00E5462F" w:rsidTr="0022379A">
        <w:trPr>
          <w:trHeight w:val="844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A0" w:rsidRPr="00E5462F" w:rsidRDefault="00F367A0" w:rsidP="00F36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10. Способи отримання відповіді (результату)</w:t>
            </w:r>
            <w:r w:rsidRPr="00E5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367A0" w:rsidRPr="00E5462F" w:rsidRDefault="007E2CC3" w:rsidP="00F36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E546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Сформоване інформаційне повідомлення вважається отриманим у день його подання і підлягає реєстрац</w:t>
            </w:r>
            <w:r w:rsidR="00E546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ії та зберіганню на Порталі Дія</w:t>
            </w:r>
          </w:p>
        </w:tc>
      </w:tr>
    </w:tbl>
    <w:p w:rsidR="00F367A0" w:rsidRPr="00E5462F" w:rsidRDefault="00F367A0" w:rsidP="00F367A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CD246C" w:rsidRDefault="00CD246C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</w:p>
    <w:p w:rsidR="0062710B" w:rsidRDefault="0062710B">
      <w:pPr>
        <w:rPr>
          <w:lang w:val="uk-UA"/>
        </w:rPr>
      </w:pPr>
      <w:bookmarkStart w:id="14" w:name="_GoBack"/>
      <w:bookmarkEnd w:id="14"/>
    </w:p>
    <w:p w:rsidR="0062710B" w:rsidRDefault="0062710B">
      <w:pPr>
        <w:rPr>
          <w:lang w:val="uk-UA"/>
        </w:rPr>
      </w:pP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Заступнику міського голови</w:t>
      </w: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Людмилі БИСТРІЙ</w:t>
      </w: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</w:p>
    <w:p w:rsidR="0062710B" w:rsidRPr="0062710B" w:rsidRDefault="0062710B" w:rsidP="006271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ПІБ заявника фізичної  особи (найменування юридичної особи)</w:t>
      </w: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____________________________________________________________________________________________________________</w:t>
      </w:r>
    </w:p>
    <w:p w:rsidR="0062710B" w:rsidRPr="0062710B" w:rsidRDefault="0062710B" w:rsidP="0062710B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____________________________________</w:t>
      </w:r>
    </w:p>
    <w:p w:rsidR="0062710B" w:rsidRPr="0062710B" w:rsidRDefault="0062710B" w:rsidP="006271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податковий номер </w:t>
      </w:r>
      <w:r w:rsidRPr="006271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РНОКПП</w:t>
      </w:r>
      <w:r w:rsidRPr="0062710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та паспортні дані - фізичної особи заявника</w:t>
      </w:r>
    </w:p>
    <w:p w:rsidR="0062710B" w:rsidRPr="0062710B" w:rsidRDefault="0062710B" w:rsidP="006271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 w:eastAsia="ru-RU"/>
        </w:rPr>
        <w:t xml:space="preserve">(для юридичних осіб - код ЄДРПОУ) </w:t>
      </w:r>
    </w:p>
    <w:p w:rsidR="0062710B" w:rsidRPr="0062710B" w:rsidRDefault="0062710B" w:rsidP="006271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</w:p>
    <w:p w:rsidR="0062710B" w:rsidRPr="0062710B" w:rsidRDefault="0062710B" w:rsidP="0062710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електронна адреса </w:t>
      </w:r>
    </w:p>
    <w:p w:rsidR="0062710B" w:rsidRPr="0062710B" w:rsidRDefault="0062710B" w:rsidP="006271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телефон</w:t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</w:t>
      </w:r>
    </w:p>
    <w:p w:rsidR="0062710B" w:rsidRPr="0062710B" w:rsidRDefault="0062710B" w:rsidP="0062710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62710B" w:rsidRPr="0062710B" w:rsidRDefault="0062710B" w:rsidP="006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</w:p>
    <w:p w:rsidR="0062710B" w:rsidRPr="0062710B" w:rsidRDefault="0062710B" w:rsidP="006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710B" w:rsidRPr="0062710B" w:rsidRDefault="0062710B" w:rsidP="0062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</w:t>
      </w:r>
      <w:proofErr w:type="spellStart"/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інформацію </w:t>
      </w: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про пошкоджене (знищене) нерухоме майно внаслідок бойових дій, терористичних актів, диверсій, спричинених військовою агресією російської федерації до Реєстру пошкодженого та знищеного майна.</w:t>
      </w:r>
    </w:p>
    <w:p w:rsidR="0062710B" w:rsidRPr="0062710B" w:rsidRDefault="0062710B" w:rsidP="0062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Тип нерухомого майна (приватний будинок, квартира, житлове приміщення), площа , адреса:_________________________________________</w:t>
      </w:r>
    </w:p>
    <w:p w:rsidR="0062710B" w:rsidRP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____________________________________________________________________________________________________________________________________</w:t>
      </w:r>
    </w:p>
    <w:p w:rsidR="0062710B" w:rsidRPr="0062710B" w:rsidRDefault="0062710B" w:rsidP="006271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Стан нерухомості:</w:t>
      </w:r>
    </w:p>
    <w:p w:rsidR="0062710B" w:rsidRPr="0062710B" w:rsidRDefault="0062710B" w:rsidP="0062710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знищено повністю;</w:t>
      </w:r>
    </w:p>
    <w:p w:rsidR="0062710B" w:rsidRPr="0062710B" w:rsidRDefault="0062710B" w:rsidP="0062710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часткове знищення: пошкоджено вікна, балкон, але </w:t>
      </w:r>
      <w:proofErr w:type="spellStart"/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тримальні</w:t>
      </w:r>
      <w:proofErr w:type="spellEnd"/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стіни не постраждали;</w:t>
      </w:r>
    </w:p>
    <w:p w:rsidR="0062710B" w:rsidRPr="0062710B" w:rsidRDefault="0062710B" w:rsidP="0062710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непридатна до експлуатації : пожежа, ушкоджені </w:t>
      </w:r>
      <w:proofErr w:type="spellStart"/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тримальні</w:t>
      </w:r>
      <w:proofErr w:type="spellEnd"/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стіни або покрівля, знищено частину багатоквартирного будинку).</w:t>
      </w:r>
    </w:p>
    <w:p w:rsidR="0062710B" w:rsidRPr="0062710B" w:rsidRDefault="0062710B" w:rsidP="0062710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vertAlign w:val="subscript"/>
          <w:lang w:val="uk-UA" w:eastAsia="ru-RU"/>
        </w:rPr>
      </w:pPr>
    </w:p>
    <w:p w:rsidR="0062710B" w:rsidRPr="0062710B" w:rsidRDefault="0062710B" w:rsidP="006271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Кількість осіб, що мешкали в житлі</w:t>
      </w: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</w:t>
      </w: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  <w:t xml:space="preserve">________ </w:t>
      </w:r>
      <w:r w:rsidRPr="00627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(осіб)</w:t>
      </w:r>
    </w:p>
    <w:p w:rsid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 пошкодження: ________________________________________________</w:t>
      </w:r>
    </w:p>
    <w:p w:rsidR="0062710B" w:rsidRP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62710B" w:rsidRP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 і час пошкодження: ____________________________________________</w:t>
      </w:r>
    </w:p>
    <w:p w:rsid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є майно об’єктом культурної спадщини) так/ні</w:t>
      </w:r>
    </w:p>
    <w:p w:rsidR="0062710B" w:rsidRP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2710B" w:rsidRPr="0062710B" w:rsidRDefault="0062710B" w:rsidP="00627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заяви додаю:</w:t>
      </w:r>
    </w:p>
    <w:p w:rsidR="0062710B" w:rsidRPr="0062710B" w:rsidRDefault="0062710B" w:rsidP="0062710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паспорту та довідки РНОКПП;</w:t>
      </w:r>
    </w:p>
    <w:p w:rsidR="0062710B" w:rsidRPr="0062710B" w:rsidRDefault="0062710B" w:rsidP="0062710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Копія доручення (у разі подання інформаційного повідомлення представником);</w:t>
      </w:r>
    </w:p>
    <w:p w:rsidR="0062710B" w:rsidRPr="0062710B" w:rsidRDefault="0062710B" w:rsidP="0062710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Копія права власності на нерухоме майно;</w:t>
      </w:r>
    </w:p>
    <w:p w:rsidR="0062710B" w:rsidRDefault="0062710B" w:rsidP="0062710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Фіксація пошкоджень (за наявності).</w:t>
      </w:r>
    </w:p>
    <w:p w:rsidR="0062710B" w:rsidRPr="0062710B" w:rsidRDefault="0062710B" w:rsidP="00627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710B" w:rsidRDefault="0062710B" w:rsidP="0062710B">
      <w:pPr>
        <w:spacing w:after="0" w:line="240" w:lineRule="auto"/>
        <w:rPr>
          <w:lang w:val="uk-UA"/>
        </w:rPr>
      </w:pP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 20___ року</w:t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_____________</w:t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71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Підпис заявника</w:t>
      </w:r>
    </w:p>
    <w:p w:rsidR="0062710B" w:rsidRPr="00E5462F" w:rsidRDefault="0062710B">
      <w:pPr>
        <w:rPr>
          <w:lang w:val="uk-UA"/>
        </w:rPr>
      </w:pPr>
    </w:p>
    <w:sectPr w:rsidR="0062710B" w:rsidRPr="00E5462F" w:rsidSect="006271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D7B"/>
    <w:multiLevelType w:val="hybridMultilevel"/>
    <w:tmpl w:val="D228C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938"/>
    <w:multiLevelType w:val="hybridMultilevel"/>
    <w:tmpl w:val="A98E1EAE"/>
    <w:lvl w:ilvl="0" w:tplc="44B414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41F4"/>
    <w:multiLevelType w:val="hybridMultilevel"/>
    <w:tmpl w:val="E248A342"/>
    <w:lvl w:ilvl="0" w:tplc="44B414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48"/>
    <w:rsid w:val="0022379A"/>
    <w:rsid w:val="00552A26"/>
    <w:rsid w:val="0062710B"/>
    <w:rsid w:val="00724248"/>
    <w:rsid w:val="00736383"/>
    <w:rsid w:val="007E2CC3"/>
    <w:rsid w:val="008E31B6"/>
    <w:rsid w:val="00CD246C"/>
    <w:rsid w:val="00DA476E"/>
    <w:rsid w:val="00E5462F"/>
    <w:rsid w:val="00F367A0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2065-870D-4E62-8AD8-B4A7D7ED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7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2A26"/>
    <w:rPr>
      <w:color w:val="0000FF"/>
      <w:u w:val="single"/>
    </w:rPr>
  </w:style>
  <w:style w:type="paragraph" w:customStyle="1" w:styleId="rvps2">
    <w:name w:val="rvps2"/>
    <w:basedOn w:val="a"/>
    <w:rsid w:val="007E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5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66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7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6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5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0-202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@borispol-rada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ia.gov.ua/services/poshkodzhene-maj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2022-06-15T12:10:00Z</dcterms:created>
  <dcterms:modified xsi:type="dcterms:W3CDTF">2022-08-02T09:42:00Z</dcterms:modified>
</cp:coreProperties>
</file>