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DA" w:rsidRDefault="009F24DA" w:rsidP="009F2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6. </w:t>
      </w:r>
      <w:bookmarkStart w:id="0" w:name="_GoBack"/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Перелік завдань і заходів </w:t>
      </w:r>
      <w:r w:rsidR="004026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рограми та очікувані результати</w:t>
      </w:r>
      <w:bookmarkEnd w:id="0"/>
    </w:p>
    <w:p w:rsidR="00A0674F" w:rsidRPr="00A0674F" w:rsidRDefault="00A0674F" w:rsidP="00A0674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</w:pP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138"/>
        <w:gridCol w:w="706"/>
        <w:gridCol w:w="140"/>
        <w:gridCol w:w="426"/>
        <w:gridCol w:w="28"/>
        <w:gridCol w:w="6"/>
        <w:gridCol w:w="31"/>
        <w:gridCol w:w="108"/>
        <w:gridCol w:w="819"/>
        <w:gridCol w:w="227"/>
        <w:gridCol w:w="375"/>
        <w:gridCol w:w="91"/>
        <w:gridCol w:w="48"/>
        <w:gridCol w:w="139"/>
        <w:gridCol w:w="97"/>
        <w:gridCol w:w="1573"/>
        <w:gridCol w:w="454"/>
        <w:gridCol w:w="6"/>
        <w:gridCol w:w="103"/>
        <w:gridCol w:w="36"/>
        <w:gridCol w:w="110"/>
        <w:gridCol w:w="29"/>
        <w:gridCol w:w="425"/>
        <w:gridCol w:w="6"/>
        <w:gridCol w:w="116"/>
        <w:gridCol w:w="23"/>
        <w:gridCol w:w="139"/>
        <w:gridCol w:w="538"/>
        <w:gridCol w:w="460"/>
        <w:gridCol w:w="139"/>
        <w:gridCol w:w="113"/>
        <w:gridCol w:w="26"/>
        <w:gridCol w:w="283"/>
        <w:gridCol w:w="680"/>
        <w:gridCol w:w="162"/>
        <w:gridCol w:w="283"/>
        <w:gridCol w:w="15"/>
        <w:gridCol w:w="139"/>
        <w:gridCol w:w="30"/>
        <w:gridCol w:w="83"/>
        <w:gridCol w:w="26"/>
        <w:gridCol w:w="538"/>
        <w:gridCol w:w="142"/>
        <w:gridCol w:w="283"/>
        <w:gridCol w:w="35"/>
        <w:gridCol w:w="139"/>
        <w:gridCol w:w="53"/>
        <w:gridCol w:w="60"/>
        <w:gridCol w:w="26"/>
        <w:gridCol w:w="1818"/>
        <w:gridCol w:w="139"/>
        <w:gridCol w:w="92"/>
        <w:gridCol w:w="21"/>
        <w:gridCol w:w="26"/>
        <w:gridCol w:w="32"/>
        <w:gridCol w:w="682"/>
        <w:gridCol w:w="29"/>
        <w:gridCol w:w="139"/>
        <w:gridCol w:w="110"/>
        <w:gridCol w:w="3"/>
        <w:gridCol w:w="26"/>
        <w:gridCol w:w="145"/>
        <w:gridCol w:w="682"/>
        <w:gridCol w:w="29"/>
        <w:gridCol w:w="139"/>
        <w:gridCol w:w="113"/>
        <w:gridCol w:w="17"/>
        <w:gridCol w:w="12"/>
        <w:gridCol w:w="824"/>
        <w:gridCol w:w="139"/>
        <w:gridCol w:w="113"/>
        <w:gridCol w:w="37"/>
      </w:tblGrid>
      <w:tr w:rsidR="00A0674F" w:rsidRPr="00A0674F" w:rsidTr="00744504">
        <w:trPr>
          <w:gridBefore w:val="2"/>
          <w:wBefore w:w="279" w:type="dxa"/>
          <w:trHeight w:val="1059"/>
        </w:trPr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657" w:type="dxa"/>
            <w:gridSpan w:val="7"/>
            <w:vMerge w:val="restart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311" w:type="dxa"/>
            <w:gridSpan w:val="5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709" w:type="dxa"/>
            <w:gridSpan w:val="6"/>
            <w:vMerge w:val="restart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Термін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5963" w:type="dxa"/>
            <w:gridSpan w:val="29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Очікуваний результат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A0674F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14" w:type="dxa"/>
            <w:gridSpan w:val="7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2025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2026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423" w:type="dxa"/>
            <w:gridSpan w:val="9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2027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</w:tr>
      <w:tr w:rsidR="00A0674F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657" w:type="dxa"/>
            <w:gridSpan w:val="7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2311" w:type="dxa"/>
            <w:gridSpan w:val="5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  <w:gridSpan w:val="6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1560" w:type="dxa"/>
            <w:gridSpan w:val="9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2414" w:type="dxa"/>
            <w:gridSpan w:val="7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23" w:type="dxa"/>
            <w:gridSpan w:val="9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</w:t>
            </w:r>
          </w:p>
        </w:tc>
      </w:tr>
      <w:tr w:rsidR="00A0674F" w:rsidRPr="00A0674F" w:rsidTr="00744504">
        <w:trPr>
          <w:gridBefore w:val="2"/>
          <w:wBefore w:w="279" w:type="dxa"/>
        </w:trPr>
        <w:tc>
          <w:tcPr>
            <w:tcW w:w="15881" w:type="dxa"/>
            <w:gridSpan w:val="71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D519B2">
              <w:rPr>
                <w:rFonts w:ascii="Times New Roman" w:eastAsia="Calibri" w:hAnsi="Times New Roman" w:cs="Times New Roman"/>
                <w:b/>
                <w:snapToGrid/>
                <w:position w:val="0"/>
                <w:sz w:val="22"/>
                <w:szCs w:val="22"/>
                <w:lang w:val="uk-UA" w:eastAsia="en-US"/>
              </w:rPr>
              <w:t>Первинний рівень надання медичної допомоги населенню</w:t>
            </w:r>
          </w:p>
        </w:tc>
      </w:tr>
      <w:tr w:rsidR="00A0674F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 w:val="restart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Доступна та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ефективна система надання медичних послуг</w:t>
            </w:r>
          </w:p>
        </w:tc>
        <w:tc>
          <w:tcPr>
            <w:tcW w:w="1657" w:type="dxa"/>
            <w:gridSpan w:val="7"/>
            <w:vMerge w:val="restart"/>
          </w:tcPr>
          <w:p w:rsidR="00A0674F" w:rsidRPr="00A0674F" w:rsidRDefault="00444E3A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Забезпечення доступності і безоплатності медичного обслуговування</w:t>
            </w:r>
            <w:r w:rsidR="00C1159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 Удосконалення мережі закладів первинної медичної допомоги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311" w:type="dxa"/>
            <w:gridSpan w:val="5"/>
            <w:vMerge w:val="restart"/>
            <w:shd w:val="clear" w:color="auto" w:fill="auto"/>
          </w:tcPr>
          <w:p w:rsidR="00A0674F" w:rsidRPr="00A0674F" w:rsidRDefault="00444E3A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Будівництво та реконструкція АЗПСМ</w:t>
            </w:r>
            <w:r w:rsidR="00875A7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gridSpan w:val="6"/>
            <w:vMerge w:val="restart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УКБ, 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бюджет, кошти інших джерел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A0674F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B050A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92" w:type="dxa"/>
            <w:gridSpan w:val="6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1 000,00</w:t>
            </w:r>
          </w:p>
        </w:tc>
        <w:tc>
          <w:tcPr>
            <w:tcW w:w="1134" w:type="dxa"/>
            <w:gridSpan w:val="7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5 000,00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9 000,00</w:t>
            </w:r>
          </w:p>
        </w:tc>
      </w:tr>
      <w:tr w:rsidR="00A0674F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одиниць</w:t>
            </w:r>
          </w:p>
        </w:tc>
        <w:tc>
          <w:tcPr>
            <w:tcW w:w="992" w:type="dxa"/>
            <w:gridSpan w:val="6"/>
          </w:tcPr>
          <w:p w:rsidR="00A0674F" w:rsidRPr="00A0674F" w:rsidRDefault="00BD34C2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A0674F" w:rsidRPr="00A0674F" w:rsidRDefault="00E05102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A0674F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</w:p>
          <w:p w:rsidR="00A0674F" w:rsidRPr="00A0674F" w:rsidRDefault="000327C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середня вартість об</w:t>
            </w:r>
            <w:r w:rsidRP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6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9 000,00</w:t>
            </w:r>
          </w:p>
        </w:tc>
      </w:tr>
      <w:tr w:rsidR="00A0674F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A0674F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A0674F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 %</w:t>
            </w:r>
          </w:p>
        </w:tc>
        <w:tc>
          <w:tcPr>
            <w:tcW w:w="992" w:type="dxa"/>
            <w:gridSpan w:val="6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23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1169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 w:val="restart"/>
            <w:shd w:val="clear" w:color="auto" w:fill="auto"/>
          </w:tcPr>
          <w:p w:rsidR="00161169" w:rsidRPr="00A0674F" w:rsidRDefault="00444E3A" w:rsidP="00875A7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161169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 w:rsidR="00875A7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Розробка ПКД та к</w:t>
            </w:r>
            <w:r w:rsidR="0020429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апітальні ремонти приміщень</w:t>
            </w:r>
          </w:p>
        </w:tc>
        <w:tc>
          <w:tcPr>
            <w:tcW w:w="709" w:type="dxa"/>
            <w:gridSpan w:val="6"/>
            <w:vMerge w:val="restart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УКБ, 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24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414" w:type="dxa"/>
            <w:gridSpan w:val="7"/>
          </w:tcPr>
          <w:p w:rsidR="00161169" w:rsidRPr="00A0674F" w:rsidRDefault="00B050AF" w:rsidP="00B050A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="00161169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6"/>
          </w:tcPr>
          <w:p w:rsidR="00161169" w:rsidRPr="00A0674F" w:rsidRDefault="006A135A" w:rsidP="006A135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161169" w:rsidRPr="00A0674F" w:rsidRDefault="006A135A" w:rsidP="006A135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423" w:type="dxa"/>
            <w:gridSpan w:val="9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D625D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</w:tr>
      <w:tr w:rsidR="00161169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20429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41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одиниць</w:t>
            </w:r>
          </w:p>
        </w:tc>
        <w:tc>
          <w:tcPr>
            <w:tcW w:w="992" w:type="dxa"/>
            <w:gridSpan w:val="6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161169" w:rsidRPr="00A0674F" w:rsidRDefault="00E05102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423" w:type="dxa"/>
            <w:gridSpan w:val="9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161169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об</w:t>
            </w:r>
            <w:r w:rsidRP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6"/>
          </w:tcPr>
          <w:p w:rsidR="00161169" w:rsidRPr="00A0674F" w:rsidRDefault="006A135A" w:rsidP="002042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2 000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gridSpan w:val="7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423" w:type="dxa"/>
            <w:gridSpan w:val="9"/>
          </w:tcPr>
          <w:p w:rsidR="00161169" w:rsidRPr="00A0674F" w:rsidRDefault="00BD34C2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  <w:r w:rsidR="00D625D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</w:tr>
      <w:tr w:rsidR="00161169" w:rsidRPr="00A0674F" w:rsidTr="00744504">
        <w:trPr>
          <w:gridBefore w:val="2"/>
          <w:wBefore w:w="279" w:type="dxa"/>
        </w:trPr>
        <w:tc>
          <w:tcPr>
            <w:tcW w:w="1300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7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161169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–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 %</w:t>
            </w:r>
          </w:p>
        </w:tc>
        <w:tc>
          <w:tcPr>
            <w:tcW w:w="992" w:type="dxa"/>
            <w:gridSpan w:val="6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23" w:type="dxa"/>
            <w:gridSpan w:val="9"/>
          </w:tcPr>
          <w:p w:rsidR="00161169" w:rsidRPr="00A0674F" w:rsidRDefault="00D625DB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44E3A" w:rsidRPr="00A0674F" w:rsidTr="00744504">
        <w:trPr>
          <w:gridBefore w:val="2"/>
          <w:wBefore w:w="279" w:type="dxa"/>
        </w:trPr>
        <w:tc>
          <w:tcPr>
            <w:tcW w:w="1272" w:type="dxa"/>
            <w:gridSpan w:val="3"/>
            <w:vMerge w:val="restart"/>
            <w:shd w:val="clear" w:color="auto" w:fill="auto"/>
          </w:tcPr>
          <w:p w:rsidR="00444E3A" w:rsidRPr="00A0674F" w:rsidRDefault="00444E3A" w:rsidP="00744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 w:val="restart"/>
          </w:tcPr>
          <w:p w:rsidR="00444E3A" w:rsidRPr="00A0674F" w:rsidRDefault="00444E3A" w:rsidP="005321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Створення належних умов для функціонування єдиного, безпечного медичного простору на первинному рівні медичного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обслуговування населення. Фінансова п</w:t>
            </w:r>
            <w:r w:rsidRPr="0053218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ідтримка КНП «Бориспільський МЦПМСД»</w:t>
            </w:r>
          </w:p>
        </w:tc>
        <w:tc>
          <w:tcPr>
            <w:tcW w:w="2311" w:type="dxa"/>
            <w:gridSpan w:val="7"/>
            <w:vMerge w:val="restart"/>
            <w:shd w:val="clear" w:color="auto" w:fill="auto"/>
          </w:tcPr>
          <w:p w:rsidR="00444E3A" w:rsidRPr="00A0674F" w:rsidRDefault="00444E3A" w:rsidP="005321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2.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709" w:type="dxa"/>
            <w:gridSpan w:val="5"/>
            <w:vMerge w:val="restart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11 150,00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B050A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 w:rsidR="00B050AF">
              <w:t xml:space="preserve"> </w:t>
            </w:r>
            <w:r w:rsidR="00B050AF"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3 350,00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3 700,00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4100,00</w:t>
            </w:r>
          </w:p>
        </w:tc>
      </w:tr>
      <w:tr w:rsidR="00444E3A" w:rsidRPr="00A0674F" w:rsidTr="00744504">
        <w:trPr>
          <w:gridBefore w:val="2"/>
          <w:wBefore w:w="279" w:type="dxa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3 350,00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995" w:type="dxa"/>
            <w:gridSpan w:val="6"/>
          </w:tcPr>
          <w:p w:rsidR="00444E3A" w:rsidRPr="009F0C78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gridSpan w:val="6"/>
          </w:tcPr>
          <w:p w:rsidR="00444E3A" w:rsidRPr="009F0C78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42" w:type="dxa"/>
            <w:gridSpan w:val="6"/>
          </w:tcPr>
          <w:p w:rsidR="00444E3A" w:rsidRPr="004871E2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</w:tr>
      <w:tr w:rsidR="00444E3A" w:rsidRPr="00A0674F" w:rsidTr="00744504">
        <w:trPr>
          <w:gridBefore w:val="2"/>
          <w:wBefore w:w="279" w:type="dxa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3 700,00</w:t>
            </w:r>
          </w:p>
        </w:tc>
        <w:tc>
          <w:tcPr>
            <w:tcW w:w="2409" w:type="dxa"/>
            <w:gridSpan w:val="10"/>
          </w:tcPr>
          <w:p w:rsidR="00444E3A" w:rsidRPr="0055483E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договору</w:t>
            </w:r>
          </w:p>
        </w:tc>
        <w:tc>
          <w:tcPr>
            <w:tcW w:w="995" w:type="dxa"/>
            <w:gridSpan w:val="6"/>
          </w:tcPr>
          <w:p w:rsidR="00444E3A" w:rsidRPr="004871E2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335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370,00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410,00</w:t>
            </w:r>
          </w:p>
        </w:tc>
      </w:tr>
      <w:tr w:rsidR="00444E3A" w:rsidRPr="00A0674F" w:rsidTr="00744504">
        <w:trPr>
          <w:gridBefore w:val="2"/>
          <w:wBefore w:w="279" w:type="dxa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4 100,00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995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44E3A" w:rsidRPr="00A0674F" w:rsidTr="00744504">
        <w:trPr>
          <w:gridBefore w:val="2"/>
          <w:wBefore w:w="279" w:type="dxa"/>
          <w:trHeight w:val="519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 w:val="restart"/>
            <w:shd w:val="clear" w:color="auto" w:fill="auto"/>
          </w:tcPr>
          <w:p w:rsidR="00444E3A" w:rsidRPr="0055483E" w:rsidRDefault="00444E3A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Придбання, монтаж, обслуговування та ремонт обладнання, устаткування, технічних засобів, меблів, програмного забезпечення, тощо  </w:t>
            </w:r>
          </w:p>
        </w:tc>
        <w:tc>
          <w:tcPr>
            <w:tcW w:w="709" w:type="dxa"/>
            <w:gridSpan w:val="5"/>
            <w:vMerge w:val="restart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0F0C2E" w:rsidRDefault="00444E3A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444E3A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="00B050AF"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444E3A" w:rsidRPr="00A0674F" w:rsidRDefault="00640146" w:rsidP="002042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34" w:type="dxa"/>
            <w:gridSpan w:val="6"/>
          </w:tcPr>
          <w:p w:rsidR="00444E3A" w:rsidRPr="00A0674F" w:rsidRDefault="00640146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1 000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42" w:type="dxa"/>
            <w:gridSpan w:val="6"/>
          </w:tcPr>
          <w:p w:rsidR="00444E3A" w:rsidRPr="00A0674F" w:rsidRDefault="00640146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1 000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</w:tr>
      <w:tr w:rsidR="00444E3A" w:rsidRPr="00A0674F" w:rsidTr="00744504">
        <w:trPr>
          <w:gridBefore w:val="2"/>
          <w:wBefore w:w="279" w:type="dxa"/>
          <w:trHeight w:val="697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0F0C2E" w:rsidRDefault="00444E3A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444E3A" w:rsidRPr="00A0674F" w:rsidRDefault="00BD34C2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укладених договорів, од.</w:t>
            </w:r>
          </w:p>
        </w:tc>
        <w:tc>
          <w:tcPr>
            <w:tcW w:w="995" w:type="dxa"/>
            <w:gridSpan w:val="6"/>
          </w:tcPr>
          <w:p w:rsidR="00444E3A" w:rsidRPr="00A0674F" w:rsidRDefault="00444E3A" w:rsidP="0064014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64014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gridSpan w:val="6"/>
          </w:tcPr>
          <w:p w:rsidR="00444E3A" w:rsidRPr="00A0674F" w:rsidRDefault="003D63D2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42" w:type="dxa"/>
            <w:gridSpan w:val="6"/>
          </w:tcPr>
          <w:p w:rsidR="00444E3A" w:rsidRPr="00A0674F" w:rsidRDefault="003D63D2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444E3A" w:rsidRPr="00A0674F" w:rsidTr="00744504">
        <w:trPr>
          <w:gridBefore w:val="2"/>
          <w:wBefore w:w="279" w:type="dxa"/>
          <w:trHeight w:val="724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444E3A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66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67</w:t>
            </w:r>
          </w:p>
        </w:tc>
        <w:tc>
          <w:tcPr>
            <w:tcW w:w="1134" w:type="dxa"/>
            <w:gridSpan w:val="6"/>
          </w:tcPr>
          <w:p w:rsidR="00444E3A" w:rsidRPr="00A0674F" w:rsidRDefault="003D63D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125</w:t>
            </w:r>
          </w:p>
        </w:tc>
        <w:tc>
          <w:tcPr>
            <w:tcW w:w="1142" w:type="dxa"/>
            <w:gridSpan w:val="6"/>
          </w:tcPr>
          <w:p w:rsidR="00444E3A" w:rsidRPr="00A0674F" w:rsidRDefault="003D63D2" w:rsidP="003D63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333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33</w:t>
            </w:r>
          </w:p>
        </w:tc>
      </w:tr>
      <w:tr w:rsidR="00444E3A" w:rsidRPr="00A0674F" w:rsidTr="00744504">
        <w:trPr>
          <w:gridBefore w:val="2"/>
          <w:wBefore w:w="279" w:type="dxa"/>
          <w:trHeight w:val="457"/>
        </w:trPr>
        <w:tc>
          <w:tcPr>
            <w:tcW w:w="1272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444E3A" w:rsidRPr="00A0674F" w:rsidRDefault="00444E3A" w:rsidP="009A74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09" w:type="dxa"/>
            <w:gridSpan w:val="10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від потреби, %</w:t>
            </w:r>
          </w:p>
        </w:tc>
        <w:tc>
          <w:tcPr>
            <w:tcW w:w="995" w:type="dxa"/>
            <w:gridSpan w:val="6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BD34C2" w:rsidRPr="00A0674F" w:rsidTr="00744504">
        <w:trPr>
          <w:gridBefore w:val="2"/>
          <w:wBefore w:w="279" w:type="dxa"/>
          <w:trHeight w:val="591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2.3. Поточні ремонти приміщень</w:t>
            </w:r>
          </w:p>
        </w:tc>
        <w:tc>
          <w:tcPr>
            <w:tcW w:w="709" w:type="dxa"/>
            <w:gridSpan w:val="5"/>
            <w:vMerge w:val="restart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0C322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EA379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0C322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BD34C2" w:rsidRPr="000A2B79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1 200,00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</w:tr>
      <w:tr w:rsidR="00BD34C2" w:rsidRPr="00A0674F" w:rsidTr="00744504">
        <w:trPr>
          <w:gridBefore w:val="2"/>
          <w:wBefore w:w="279" w:type="dxa"/>
          <w:trHeight w:val="543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єків</w:t>
            </w:r>
            <w:proofErr w:type="spellEnd"/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</w:tr>
      <w:tr w:rsidR="00BD34C2" w:rsidRPr="00A0674F" w:rsidTr="00744504">
        <w:trPr>
          <w:gridBefore w:val="2"/>
          <w:wBefore w:w="279" w:type="dxa"/>
          <w:trHeight w:val="653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єкту</w:t>
            </w:r>
            <w:proofErr w:type="spellEnd"/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114,29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50,00</w:t>
            </w:r>
          </w:p>
        </w:tc>
      </w:tr>
      <w:tr w:rsidR="00BD34C2" w:rsidRPr="00A0674F" w:rsidTr="00744504">
        <w:trPr>
          <w:gridBefore w:val="2"/>
          <w:wBefore w:w="279" w:type="dxa"/>
          <w:trHeight w:val="315"/>
        </w:trPr>
        <w:tc>
          <w:tcPr>
            <w:tcW w:w="1272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8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200,00</w:t>
            </w:r>
          </w:p>
        </w:tc>
        <w:tc>
          <w:tcPr>
            <w:tcW w:w="2409" w:type="dxa"/>
            <w:gridSpan w:val="10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потреби</w:t>
            </w:r>
          </w:p>
        </w:tc>
        <w:tc>
          <w:tcPr>
            <w:tcW w:w="995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A0674F" w:rsidTr="00744504">
        <w:trPr>
          <w:gridBefore w:val="2"/>
          <w:wBefore w:w="279" w:type="dxa"/>
          <w:trHeight w:val="315"/>
        </w:trPr>
        <w:tc>
          <w:tcPr>
            <w:tcW w:w="1272" w:type="dxa"/>
            <w:gridSpan w:val="3"/>
            <w:shd w:val="clear" w:color="auto" w:fill="auto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11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311" w:type="dxa"/>
            <w:gridSpan w:val="7"/>
            <w:shd w:val="clear" w:color="auto" w:fill="auto"/>
          </w:tcPr>
          <w:p w:rsidR="00405060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684" w:type="dxa"/>
            <w:gridSpan w:val="9"/>
            <w:shd w:val="clear" w:color="auto" w:fill="auto"/>
          </w:tcPr>
          <w:p w:rsidR="00405060" w:rsidRPr="00A0674F" w:rsidRDefault="00405060" w:rsidP="00EC64D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 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1.1 – 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.3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 w:rsidRPr="00B050A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:</w:t>
            </w:r>
          </w:p>
        </w:tc>
        <w:tc>
          <w:tcPr>
            <w:tcW w:w="1256" w:type="dxa"/>
            <w:gridSpan w:val="8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55 350,00</w:t>
            </w:r>
          </w:p>
        </w:tc>
        <w:tc>
          <w:tcPr>
            <w:tcW w:w="2409" w:type="dxa"/>
            <w:gridSpan w:val="10"/>
          </w:tcPr>
          <w:p w:rsidR="00405060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gridSpan w:val="6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9 150,0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17 900,00</w:t>
            </w:r>
          </w:p>
        </w:tc>
        <w:tc>
          <w:tcPr>
            <w:tcW w:w="1142" w:type="dxa"/>
            <w:gridSpan w:val="6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28 300,00</w:t>
            </w:r>
          </w:p>
        </w:tc>
      </w:tr>
      <w:tr w:rsidR="006C3627" w:rsidRPr="006C3627" w:rsidTr="00744504">
        <w:trPr>
          <w:gridBefore w:val="2"/>
          <w:wBefore w:w="279" w:type="dxa"/>
        </w:trPr>
        <w:tc>
          <w:tcPr>
            <w:tcW w:w="15881" w:type="dxa"/>
            <w:gridSpan w:val="71"/>
            <w:shd w:val="clear" w:color="auto" w:fill="auto"/>
          </w:tcPr>
          <w:p w:rsidR="006C3627" w:rsidRPr="00CF3989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Спеціалізований</w:t>
            </w:r>
            <w:r w:rsidRPr="00CF3989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рівень надання медичної допомоги населенню</w:t>
            </w:r>
          </w:p>
        </w:tc>
      </w:tr>
      <w:tr w:rsidR="00B60652" w:rsidRPr="001D38F5" w:rsidTr="00744504">
        <w:trPr>
          <w:gridBefore w:val="2"/>
          <w:wBefore w:w="279" w:type="dxa"/>
          <w:trHeight w:val="643"/>
        </w:trPr>
        <w:tc>
          <w:tcPr>
            <w:tcW w:w="846" w:type="dxa"/>
            <w:gridSpan w:val="2"/>
            <w:vMerge w:val="restart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 w:val="restart"/>
          </w:tcPr>
          <w:p w:rsidR="00B60652" w:rsidRPr="005A0485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3.Приведення КНП «ББЛІЛ» до сучасних потреб і вимог як кластерного закладу спроможної мережі</w:t>
            </w: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3.1. Реконструкція терапевтичного відділення № 1 під відділення реабілітації КНП «ББЛІЛ» за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вул. Котляревського, 1 в м. Бориспіль, Київська обл.</w:t>
            </w:r>
          </w:p>
        </w:tc>
        <w:tc>
          <w:tcPr>
            <w:tcW w:w="709" w:type="dxa"/>
            <w:gridSpan w:val="5"/>
            <w:vMerge w:val="restart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КОДА, УКБ, виконавчий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обласний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засновників, кошти інших джерел 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140 000,00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B60652" w:rsidRPr="001D38F5" w:rsidTr="00744504">
        <w:trPr>
          <w:gridBefore w:val="2"/>
          <w:wBefore w:w="279" w:type="dxa"/>
          <w:trHeight w:val="699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70 000,00</w:t>
            </w:r>
          </w:p>
        </w:tc>
        <w:tc>
          <w:tcPr>
            <w:tcW w:w="2834" w:type="dxa"/>
            <w:gridSpan w:val="12"/>
          </w:tcPr>
          <w:p w:rsidR="00B60652" w:rsidRPr="001342D8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B60652" w:rsidRPr="00A0674F" w:rsidTr="00744504">
        <w:trPr>
          <w:gridBefore w:val="2"/>
          <w:wBefore w:w="279" w:type="dxa"/>
          <w:trHeight w:val="828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70 000,00</w:t>
            </w:r>
          </w:p>
        </w:tc>
        <w:tc>
          <w:tcPr>
            <w:tcW w:w="2834" w:type="dxa"/>
            <w:gridSpan w:val="12"/>
          </w:tcPr>
          <w:p w:rsidR="00B60652" w:rsidRPr="001342D8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об</w:t>
            </w:r>
            <w:r w:rsidRPr="001342D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єкту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B60652" w:rsidRPr="00A0674F" w:rsidTr="00744504">
        <w:trPr>
          <w:gridBefore w:val="2"/>
          <w:wBefore w:w="279" w:type="dxa"/>
          <w:trHeight w:val="795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рік -</w:t>
            </w:r>
          </w:p>
        </w:tc>
        <w:tc>
          <w:tcPr>
            <w:tcW w:w="2834" w:type="dxa"/>
            <w:gridSpan w:val="12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B60652" w:rsidRPr="00411848" w:rsidTr="00744504">
        <w:trPr>
          <w:gridBefore w:val="2"/>
          <w:wBefore w:w="279" w:type="dxa"/>
          <w:trHeight w:val="661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 w:val="restart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4. </w:t>
            </w:r>
            <w:r w:rsidRPr="005A048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Розвито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</w:t>
            </w:r>
            <w:r w:rsidRPr="005A048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та підтримка спеціалізованої медичної допомоги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Фінансова підтримка КНП «ББЛІЛ»</w:t>
            </w: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4.1.Збереження, покращення технічного стану та енергоефективності будівель та утримання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території КНП «ББЛІЛ» (виготовлення ПКД, капітальні та поточні ремонти)</w:t>
            </w:r>
          </w:p>
        </w:tc>
        <w:tc>
          <w:tcPr>
            <w:tcW w:w="709" w:type="dxa"/>
            <w:gridSpan w:val="5"/>
            <w:vMerge w:val="restart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Всього 63 600,00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7300,00</w:t>
            </w:r>
          </w:p>
        </w:tc>
        <w:tc>
          <w:tcPr>
            <w:tcW w:w="1134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14 800,00</w:t>
            </w:r>
          </w:p>
        </w:tc>
        <w:tc>
          <w:tcPr>
            <w:tcW w:w="1142" w:type="dxa"/>
            <w:gridSpan w:val="6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41 500,00</w:t>
            </w:r>
          </w:p>
        </w:tc>
      </w:tr>
      <w:tr w:rsidR="00B60652" w:rsidRPr="00411848" w:rsidTr="00744504">
        <w:trPr>
          <w:gridBefore w:val="2"/>
          <w:wBefore w:w="279" w:type="dxa"/>
          <w:trHeight w:val="713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7 300,00</w:t>
            </w:r>
          </w:p>
        </w:tc>
        <w:tc>
          <w:tcPr>
            <w:tcW w:w="2834" w:type="dxa"/>
            <w:gridSpan w:val="12"/>
          </w:tcPr>
          <w:p w:rsidR="00B60652" w:rsidRPr="007F5EEA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995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42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</w:tr>
      <w:tr w:rsidR="00B60652" w:rsidRPr="00411848" w:rsidTr="00744504">
        <w:trPr>
          <w:gridBefore w:val="2"/>
          <w:wBefore w:w="279" w:type="dxa"/>
          <w:trHeight w:val="720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14 800,00</w:t>
            </w:r>
          </w:p>
        </w:tc>
        <w:tc>
          <w:tcPr>
            <w:tcW w:w="2834" w:type="dxa"/>
            <w:gridSpan w:val="12"/>
          </w:tcPr>
          <w:p w:rsidR="00B60652" w:rsidRPr="007F5EEA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середні витрати на 1 об</w:t>
            </w:r>
            <w:r w:rsidRPr="007F5EE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1 460,00</w:t>
            </w:r>
          </w:p>
        </w:tc>
        <w:tc>
          <w:tcPr>
            <w:tcW w:w="1134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2 114,29</w:t>
            </w:r>
          </w:p>
        </w:tc>
        <w:tc>
          <w:tcPr>
            <w:tcW w:w="1142" w:type="dxa"/>
            <w:gridSpan w:val="6"/>
          </w:tcPr>
          <w:p w:rsidR="00B60652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10375,00</w:t>
            </w:r>
          </w:p>
        </w:tc>
      </w:tr>
      <w:tr w:rsidR="00B60652" w:rsidRPr="00411848" w:rsidTr="00744504">
        <w:trPr>
          <w:gridBefore w:val="2"/>
          <w:wBefore w:w="279" w:type="dxa"/>
          <w:trHeight w:val="635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6C36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41500,00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коштів,%</w:t>
            </w:r>
          </w:p>
        </w:tc>
        <w:tc>
          <w:tcPr>
            <w:tcW w:w="995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B60652" w:rsidRPr="00A0674F" w:rsidTr="00744504">
        <w:trPr>
          <w:gridBefore w:val="2"/>
          <w:wBefore w:w="279" w:type="dxa"/>
          <w:trHeight w:val="589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4.2.Зміцнення матеріально-технічної бази КНП «ББЛІЛ» (придбання, монтаж, ремонт, обслуговування)</w:t>
            </w:r>
          </w:p>
        </w:tc>
        <w:tc>
          <w:tcPr>
            <w:tcW w:w="709" w:type="dxa"/>
            <w:gridSpan w:val="5"/>
            <w:vMerge w:val="restart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15 300,00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3354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6 400,00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3A3C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4 450,00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3A3C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4 450,00</w:t>
            </w:r>
          </w:p>
        </w:tc>
      </w:tr>
      <w:tr w:rsidR="00B60652" w:rsidRPr="00A0674F" w:rsidTr="00744504">
        <w:trPr>
          <w:gridBefore w:val="2"/>
          <w:wBefore w:w="279" w:type="dxa"/>
          <w:trHeight w:val="697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6 400,00</w:t>
            </w:r>
          </w:p>
        </w:tc>
        <w:tc>
          <w:tcPr>
            <w:tcW w:w="2834" w:type="dxa"/>
            <w:gridSpan w:val="12"/>
          </w:tcPr>
          <w:p w:rsidR="00B60652" w:rsidRPr="00781DAC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/напрямків, од.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</w:tr>
      <w:tr w:rsidR="00B60652" w:rsidRPr="00A0674F" w:rsidTr="00744504">
        <w:trPr>
          <w:gridBefore w:val="2"/>
          <w:wBefore w:w="279" w:type="dxa"/>
          <w:trHeight w:val="622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3354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4450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3A3C7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1280,00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890,00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890,00</w:t>
            </w:r>
          </w:p>
        </w:tc>
      </w:tr>
      <w:tr w:rsidR="00B60652" w:rsidRPr="00A0674F" w:rsidTr="00744504">
        <w:trPr>
          <w:gridBefore w:val="2"/>
          <w:wBefore w:w="279" w:type="dxa"/>
          <w:trHeight w:val="600"/>
        </w:trPr>
        <w:tc>
          <w:tcPr>
            <w:tcW w:w="846" w:type="dxa"/>
            <w:gridSpan w:val="2"/>
            <w:vMerge w:val="restart"/>
            <w:shd w:val="clear" w:color="auto" w:fill="auto"/>
          </w:tcPr>
          <w:p w:rsidR="00B60652" w:rsidRPr="00A0674F" w:rsidRDefault="00B60652" w:rsidP="00744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 w:val="restart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shd w:val="clear" w:color="auto" w:fill="auto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B60652" w:rsidRPr="00491CD1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shd w:val="clear" w:color="auto" w:fill="auto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коштів,%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B60652" w:rsidRPr="00A0674F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4.3. О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плат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КНП «ББЛІЛ»</w:t>
            </w:r>
          </w:p>
        </w:tc>
        <w:tc>
          <w:tcPr>
            <w:tcW w:w="709" w:type="dxa"/>
            <w:gridSpan w:val="5"/>
            <w:vMerge w:val="restart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B60652" w:rsidRPr="00A0674F" w:rsidRDefault="00B60652" w:rsidP="00B60652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</w:t>
            </w:r>
            <w:proofErr w:type="spellEnd"/>
            <w:r w:rsidRPr="000D7A7D">
              <w:rPr>
                <w:lang w:val="uk-UA"/>
              </w:rPr>
              <w:t xml:space="preserve"> </w:t>
            </w:r>
            <w:r w:rsidRPr="000D7A7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ня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107 230,00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31 000,00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35 080,00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41 150,00</w:t>
            </w:r>
          </w:p>
        </w:tc>
      </w:tr>
      <w:tr w:rsidR="00B60652" w:rsidRPr="00A0674F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31 000,00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</w:tr>
      <w:tr w:rsidR="00B60652" w:rsidRPr="00A0674F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35 080,00</w:t>
            </w:r>
          </w:p>
        </w:tc>
        <w:tc>
          <w:tcPr>
            <w:tcW w:w="2834" w:type="dxa"/>
            <w:gridSpan w:val="12"/>
          </w:tcPr>
          <w:p w:rsidR="00B60652" w:rsidRPr="0055483E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договору,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4 428,57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5 011,43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6065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5 878,57</w:t>
            </w:r>
          </w:p>
        </w:tc>
      </w:tr>
      <w:tr w:rsidR="00B60652" w:rsidRPr="00A0674F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41 150,00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B60652" w:rsidRPr="000346C1" w:rsidTr="00744504">
        <w:trPr>
          <w:gridBefore w:val="2"/>
          <w:wBefore w:w="279" w:type="dxa"/>
          <w:trHeight w:val="435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4.4.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безпечення лікарськими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ами,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ироб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ами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медичного </w:t>
            </w:r>
            <w:proofErr w:type="spellStart"/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призначеня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витратними матеріалами</w:t>
            </w:r>
          </w:p>
        </w:tc>
        <w:tc>
          <w:tcPr>
            <w:tcW w:w="709" w:type="dxa"/>
            <w:gridSpan w:val="5"/>
            <w:vMerge w:val="restart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45 000,00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</w:tr>
      <w:tr w:rsidR="00B60652" w:rsidRPr="000346C1" w:rsidTr="00744504">
        <w:trPr>
          <w:gridBefore w:val="2"/>
          <w:wBefore w:w="279" w:type="dxa"/>
          <w:trHeight w:val="465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0346C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найменувань, од.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</w:tr>
      <w:tr w:rsidR="00B60652" w:rsidRPr="000346C1" w:rsidTr="00744504">
        <w:trPr>
          <w:gridBefore w:val="2"/>
          <w:wBefore w:w="279" w:type="dxa"/>
          <w:trHeight w:val="585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0346C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15000,00</w:t>
            </w:r>
          </w:p>
        </w:tc>
        <w:tc>
          <w:tcPr>
            <w:tcW w:w="2834" w:type="dxa"/>
            <w:gridSpan w:val="12"/>
          </w:tcPr>
          <w:p w:rsidR="00B60652" w:rsidRPr="0055483E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витрати на закупівлю 1 найменування,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</w:tr>
      <w:tr w:rsidR="00B60652" w:rsidRPr="000346C1" w:rsidTr="00744504">
        <w:trPr>
          <w:gridBefore w:val="2"/>
          <w:wBefore w:w="279" w:type="dxa"/>
          <w:trHeight w:val="525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0346C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511483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B60652" w:rsidRPr="000346C1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 w:val="restart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4.5. Відшкодування витрат на виплату та доставку пенсій, призначених на пільгових умовах</w:t>
            </w:r>
          </w:p>
        </w:tc>
        <w:tc>
          <w:tcPr>
            <w:tcW w:w="709" w:type="dxa"/>
            <w:gridSpan w:val="5"/>
            <w:vMerge w:val="restart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Всього 1 530,00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</w:tr>
      <w:tr w:rsidR="00B60652" w:rsidRPr="000F290A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осіб, які отримують пільгову пенсію, осіб.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</w:tr>
      <w:tr w:rsidR="00B60652" w:rsidRPr="000346C1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6F1B6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2834" w:type="dxa"/>
            <w:gridSpan w:val="12"/>
          </w:tcPr>
          <w:p w:rsidR="00B60652" w:rsidRPr="0055483E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сума на 1 особу,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</w:tr>
      <w:tr w:rsidR="00B60652" w:rsidRPr="000346C1" w:rsidTr="00744504">
        <w:trPr>
          <w:gridBefore w:val="2"/>
          <w:wBefore w:w="279" w:type="dxa"/>
        </w:trPr>
        <w:tc>
          <w:tcPr>
            <w:tcW w:w="846" w:type="dxa"/>
            <w:gridSpan w:val="2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6"/>
            <w:vMerge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0" w:type="dxa"/>
            <w:gridSpan w:val="7"/>
            <w:vMerge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</w:tcPr>
          <w:p w:rsidR="00B60652" w:rsidRPr="00491CD1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B60652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6F1B6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4" w:type="dxa"/>
            <w:gridSpan w:val="12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забезпечення: пільговою пенсією, % </w:t>
            </w:r>
          </w:p>
        </w:tc>
        <w:tc>
          <w:tcPr>
            <w:tcW w:w="995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42" w:type="dxa"/>
            <w:gridSpan w:val="6"/>
          </w:tcPr>
          <w:p w:rsidR="00B60652" w:rsidRPr="00A0674F" w:rsidRDefault="00B60652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6C3627" w:rsidRPr="00D30F2E" w:rsidTr="00744504">
        <w:trPr>
          <w:gridBefore w:val="2"/>
          <w:wBefore w:w="279" w:type="dxa"/>
          <w:trHeight w:val="420"/>
        </w:trPr>
        <w:tc>
          <w:tcPr>
            <w:tcW w:w="706" w:type="dxa"/>
            <w:vMerge w:val="restart"/>
            <w:shd w:val="clear" w:color="auto" w:fill="auto"/>
          </w:tcPr>
          <w:p w:rsidR="006C3627" w:rsidRPr="00A0674F" w:rsidRDefault="006C3627" w:rsidP="00744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 w:val="restart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 w:val="restart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4.6.. Оплата послуг, крім комунальних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222BA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проведення огляду водіїв транспортних засобів з метою виявлення ознак алкогольного, наркотичного чи іншого сп’яніння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розміщення в хмарному середовищі, тощо)</w:t>
            </w:r>
          </w:p>
        </w:tc>
        <w:tc>
          <w:tcPr>
            <w:tcW w:w="709" w:type="dxa"/>
            <w:gridSpan w:val="5"/>
            <w:vMerge w:val="restart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4 150,00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1 300,00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1 400,00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1 450,00</w:t>
            </w:r>
          </w:p>
        </w:tc>
      </w:tr>
      <w:tr w:rsidR="006C3627" w:rsidRPr="00D30F2E" w:rsidTr="00744504">
        <w:trPr>
          <w:gridBefore w:val="2"/>
          <w:wBefore w:w="279" w:type="dxa"/>
          <w:trHeight w:val="525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1 300,00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6C3627" w:rsidRPr="00D30F2E" w:rsidTr="00744504">
        <w:trPr>
          <w:gridBefore w:val="2"/>
          <w:wBefore w:w="279" w:type="dxa"/>
          <w:trHeight w:val="525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40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6" w:type="dxa"/>
            <w:gridSpan w:val="5"/>
          </w:tcPr>
          <w:p w:rsidR="006C3627" w:rsidRPr="0055483E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договору,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650,00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700,00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725,00</w:t>
            </w:r>
          </w:p>
        </w:tc>
      </w:tr>
      <w:tr w:rsidR="006C3627" w:rsidRPr="00D30F2E" w:rsidTr="00744504">
        <w:trPr>
          <w:gridBefore w:val="2"/>
          <w:wBefore w:w="279" w:type="dxa"/>
          <w:trHeight w:val="795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рік  1 450,00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забезпечення проведення оглядів, %</w:t>
            </w:r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6C3627" w:rsidRPr="000346C1" w:rsidTr="00744504">
        <w:trPr>
          <w:gridBefore w:val="2"/>
          <w:wBefore w:w="279" w:type="dxa"/>
          <w:trHeight w:val="614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 w:val="restart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5. Стоматологічна допомога. Фінансова підтримка КНП «БСЦ»</w:t>
            </w:r>
          </w:p>
        </w:tc>
        <w:tc>
          <w:tcPr>
            <w:tcW w:w="2408" w:type="dxa"/>
            <w:gridSpan w:val="8"/>
            <w:vMerge w:val="restart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5.1. О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плат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КНП «БСЦ»</w:t>
            </w:r>
          </w:p>
        </w:tc>
        <w:tc>
          <w:tcPr>
            <w:tcW w:w="709" w:type="dxa"/>
            <w:gridSpan w:val="5"/>
            <w:vMerge w:val="restart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СЦ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2 550,00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750,00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850,00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950,00</w:t>
            </w:r>
          </w:p>
        </w:tc>
      </w:tr>
      <w:tr w:rsidR="006C3627" w:rsidRPr="000346C1" w:rsidTr="00744504">
        <w:trPr>
          <w:gridBefore w:val="2"/>
          <w:wBefore w:w="279" w:type="dxa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Pr="00491CD1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750,00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</w:tr>
      <w:tr w:rsidR="006C3627" w:rsidRPr="000346C1" w:rsidTr="00744504">
        <w:trPr>
          <w:gridBefore w:val="2"/>
          <w:wBefore w:w="279" w:type="dxa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Pr="00491CD1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850,00</w:t>
            </w:r>
          </w:p>
        </w:tc>
        <w:tc>
          <w:tcPr>
            <w:tcW w:w="2096" w:type="dxa"/>
            <w:gridSpan w:val="5"/>
          </w:tcPr>
          <w:p w:rsidR="006C3627" w:rsidRPr="0055483E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договору</w:t>
            </w:r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170,00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190,00</w:t>
            </w:r>
          </w:p>
        </w:tc>
      </w:tr>
      <w:tr w:rsidR="006C3627" w:rsidRPr="000346C1" w:rsidTr="00744504">
        <w:trPr>
          <w:gridBefore w:val="2"/>
          <w:wBefore w:w="279" w:type="dxa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Pr="00491CD1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950,00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6C3627" w:rsidRPr="000346C1" w:rsidTr="00744504">
        <w:trPr>
          <w:gridBefore w:val="2"/>
          <w:wBefore w:w="279" w:type="dxa"/>
          <w:trHeight w:val="225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 w:val="restart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2. Придбання, монтаж та обслуговування лікувально-діагностичної апаратури та медичного </w:t>
            </w:r>
          </w:p>
        </w:tc>
        <w:tc>
          <w:tcPr>
            <w:tcW w:w="709" w:type="dxa"/>
            <w:gridSpan w:val="5"/>
            <w:vMerge w:val="restart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СЦ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2 700,00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2 500,00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6C3627" w:rsidRPr="000346C1" w:rsidTr="00744504">
        <w:trPr>
          <w:gridBefore w:val="2"/>
          <w:wBefore w:w="279" w:type="dxa"/>
          <w:trHeight w:val="195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96" w:type="dxa"/>
            <w:gridSpan w:val="5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обладнання, од.</w:t>
            </w:r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6C3627" w:rsidRPr="000346C1" w:rsidTr="00744504">
        <w:trPr>
          <w:gridBefore w:val="2"/>
          <w:wBefore w:w="279" w:type="dxa"/>
          <w:trHeight w:val="375"/>
        </w:trPr>
        <w:tc>
          <w:tcPr>
            <w:tcW w:w="706" w:type="dxa"/>
            <w:vMerge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gridSpan w:val="12"/>
            <w:vMerge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8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6C3627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2 500,00</w:t>
            </w:r>
          </w:p>
        </w:tc>
        <w:tc>
          <w:tcPr>
            <w:tcW w:w="2096" w:type="dxa"/>
            <w:gridSpan w:val="5"/>
          </w:tcPr>
          <w:p w:rsidR="006C3627" w:rsidRPr="0055483E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одиниці,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137" w:type="dxa"/>
            <w:gridSpan w:val="7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833,33</w:t>
            </w:r>
          </w:p>
        </w:tc>
        <w:tc>
          <w:tcPr>
            <w:tcW w:w="1113" w:type="dxa"/>
            <w:gridSpan w:val="4"/>
          </w:tcPr>
          <w:p w:rsidR="006C3627" w:rsidRPr="00A0674F" w:rsidRDefault="006C3627" w:rsidP="00B7058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167AD3" w:rsidRPr="000346C1" w:rsidTr="00744504">
        <w:trPr>
          <w:gridBefore w:val="1"/>
          <w:gridAfter w:val="2"/>
          <w:wBefore w:w="141" w:type="dxa"/>
          <w:wAfter w:w="150" w:type="dxa"/>
          <w:trHeight w:val="195"/>
        </w:trPr>
        <w:tc>
          <w:tcPr>
            <w:tcW w:w="1583" w:type="dxa"/>
            <w:gridSpan w:val="8"/>
            <w:shd w:val="clear" w:color="auto" w:fill="auto"/>
          </w:tcPr>
          <w:p w:rsidR="00167AD3" w:rsidRPr="00A0674F" w:rsidRDefault="00167AD3" w:rsidP="00744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</w:tcPr>
          <w:p w:rsidR="00167AD3" w:rsidRPr="00A0674F" w:rsidRDefault="00167AD3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167AD3" w:rsidRDefault="00167AD3" w:rsidP="00CD5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стоматологічного обладнання</w:t>
            </w:r>
          </w:p>
        </w:tc>
        <w:tc>
          <w:tcPr>
            <w:tcW w:w="709" w:type="dxa"/>
            <w:gridSpan w:val="6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 w:rsidR="00FB429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700,00</w:t>
            </w:r>
          </w:p>
        </w:tc>
        <w:tc>
          <w:tcPr>
            <w:tcW w:w="2267" w:type="dxa"/>
            <w:gridSpan w:val="9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1134" w:type="dxa"/>
            <w:gridSpan w:val="7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6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2"/>
          </w:tcPr>
          <w:p w:rsidR="00167AD3" w:rsidRDefault="00FB429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0346C1" w:rsidTr="00744504">
        <w:trPr>
          <w:gridBefore w:val="1"/>
          <w:gridAfter w:val="2"/>
          <w:wBefore w:w="141" w:type="dxa"/>
          <w:wAfter w:w="150" w:type="dxa"/>
          <w:trHeight w:val="195"/>
        </w:trPr>
        <w:tc>
          <w:tcPr>
            <w:tcW w:w="1583" w:type="dxa"/>
            <w:gridSpan w:val="8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405060" w:rsidRDefault="00405060" w:rsidP="00CD5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gridSpan w:val="12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</w:t>
            </w:r>
            <w:proofErr w:type="spellEnd"/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3.1-5.2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: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383 460,00</w:t>
            </w:r>
          </w:p>
        </w:tc>
        <w:tc>
          <w:tcPr>
            <w:tcW w:w="2267" w:type="dxa"/>
            <w:gridSpan w:val="9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133 160,00</w:t>
            </w:r>
          </w:p>
        </w:tc>
        <w:tc>
          <w:tcPr>
            <w:tcW w:w="992" w:type="dxa"/>
            <w:gridSpan w:val="6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144 590,00</w:t>
            </w:r>
          </w:p>
        </w:tc>
        <w:tc>
          <w:tcPr>
            <w:tcW w:w="963" w:type="dxa"/>
            <w:gridSpan w:val="2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105 710,00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</w:trPr>
        <w:tc>
          <w:tcPr>
            <w:tcW w:w="15869" w:type="dxa"/>
            <w:gridSpan w:val="70"/>
            <w:shd w:val="clear" w:color="auto" w:fill="auto"/>
          </w:tcPr>
          <w:p w:rsidR="001628EF" w:rsidRPr="00A27FE1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Кадрова політика та м</w:t>
            </w:r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ісцеві стимули для працівників закладів охорони </w:t>
            </w:r>
            <w:proofErr w:type="spellStart"/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</w:rPr>
              <w:t>’</w:t>
            </w:r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</w:tr>
      <w:tr w:rsidR="00604508" w:rsidRPr="00136FC6" w:rsidTr="00744504">
        <w:trPr>
          <w:gridBefore w:val="1"/>
          <w:gridAfter w:val="2"/>
          <w:wBefore w:w="141" w:type="dxa"/>
          <w:wAfter w:w="150" w:type="dxa"/>
          <w:trHeight w:val="480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604508" w:rsidRPr="00A27FE1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6.Удосконалення кадрової політики та підвищення кваліфікації працівників у сфері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A27FE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6.1.Визначення реальної потреби у спеціалістах, подання закладами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2D2DA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 до Єдиного веб-порталу інформації про вакантні посади </w:t>
            </w:r>
          </w:p>
        </w:tc>
        <w:tc>
          <w:tcPr>
            <w:tcW w:w="709" w:type="dxa"/>
            <w:gridSpan w:val="6"/>
            <w:vMerge w:val="restart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604508" w:rsidRPr="002D2DA0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Заклади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-</w:t>
            </w:r>
          </w:p>
        </w:tc>
        <w:tc>
          <w:tcPr>
            <w:tcW w:w="2267" w:type="dxa"/>
            <w:gridSpan w:val="9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r w:rsidRPr="009F24DA"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 xml:space="preserve">кількість спеціалістів, що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 xml:space="preserve">відповідають за подання інформації, </w:t>
            </w:r>
            <w:r w:rsidRPr="009F24DA"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604508" w:rsidRPr="000346C1" w:rsidTr="00744504">
        <w:trPr>
          <w:gridBefore w:val="1"/>
          <w:gridAfter w:val="2"/>
          <w:wBefore w:w="141" w:type="dxa"/>
          <w:wAfter w:w="150" w:type="dxa"/>
          <w:trHeight w:val="405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267" w:type="dxa"/>
            <w:gridSpan w:val="9"/>
          </w:tcPr>
          <w:p w:rsidR="00604508" w:rsidRPr="00536BC1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продукту: кількість зареєстрованих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на Єдиному веб-порталі,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604508" w:rsidRPr="000346C1" w:rsidTr="00744504">
        <w:trPr>
          <w:gridBefore w:val="1"/>
          <w:gridAfter w:val="2"/>
          <w:wBefore w:w="141" w:type="dxa"/>
          <w:wAfter w:w="150" w:type="dxa"/>
          <w:trHeight w:val="465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267" w:type="dxa"/>
            <w:gridSpan w:val="9"/>
          </w:tcPr>
          <w:p w:rsidR="00604508" w:rsidRPr="00536B0A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ефективності: кількість відкритих особистих кабінетів на один заклад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зодоров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604508" w:rsidRPr="000346C1" w:rsidTr="00744504">
        <w:trPr>
          <w:gridBefore w:val="1"/>
          <w:gridAfter w:val="2"/>
          <w:wBefore w:w="141" w:type="dxa"/>
          <w:wAfter w:w="150" w:type="dxa"/>
          <w:trHeight w:val="645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267" w:type="dxa"/>
            <w:gridSpan w:val="9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якості: відсоток розміщених інформацій від поданих, % 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604508" w:rsidRPr="000346C1" w:rsidTr="00744504">
        <w:trPr>
          <w:gridBefore w:val="1"/>
          <w:gridAfter w:val="2"/>
          <w:wBefore w:w="141" w:type="dxa"/>
          <w:wAfter w:w="150" w:type="dxa"/>
          <w:trHeight w:val="420"/>
        </w:trPr>
        <w:tc>
          <w:tcPr>
            <w:tcW w:w="1583" w:type="dxa"/>
            <w:gridSpan w:val="8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604508" w:rsidRPr="00E5095B" w:rsidRDefault="00604508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6.2.</w:t>
            </w:r>
            <w:r w:rsidRPr="00E5095B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Реалізація освітніх програм вищої та післядипломної (інтернатури) освіти, програм безперервного професійного розвитку</w:t>
            </w:r>
          </w:p>
        </w:tc>
        <w:tc>
          <w:tcPr>
            <w:tcW w:w="709" w:type="dxa"/>
            <w:gridSpan w:val="6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04508" w:rsidRPr="002D2DA0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Заклади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-</w:t>
            </w:r>
          </w:p>
        </w:tc>
        <w:tc>
          <w:tcPr>
            <w:tcW w:w="2267" w:type="dxa"/>
            <w:gridSpan w:val="9"/>
          </w:tcPr>
          <w:p w:rsidR="00604508" w:rsidRPr="00536B0A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кількість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 де реалізуються освітні програми,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2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  <w:trHeight w:val="615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1628EF" w:rsidRPr="00A0674F" w:rsidRDefault="001628EF" w:rsidP="00744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812EB0" w:rsidRDefault="00604508" w:rsidP="001628EF">
            <w:pPr>
              <w:spacing w:line="240" w:lineRule="auto"/>
              <w:ind w:left="0" w:hanging="2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  <w:r w:rsidRPr="00604508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лікарів (проведення курсів, стажування і</w:t>
            </w:r>
            <w:r w:rsidR="00197C7D" w:rsidRPr="00E5095B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 xml:space="preserve"> підвищення кваліфікації, відкриття клінічних кафедр)</w:t>
            </w:r>
          </w:p>
        </w:tc>
        <w:tc>
          <w:tcPr>
            <w:tcW w:w="709" w:type="dxa"/>
            <w:gridSpan w:val="6"/>
            <w:vMerge w:val="restart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продукту: відкрито клінічних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каферд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  <w:trHeight w:val="585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812E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ефективності: кількість клінічних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каферд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на 1 заклад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я,од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</w:t>
            </w:r>
          </w:p>
        </w:tc>
        <w:tc>
          <w:tcPr>
            <w:tcW w:w="1021" w:type="dxa"/>
            <w:gridSpan w:val="7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gridSpan w:val="5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  <w:trHeight w:val="1226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812E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якості: рівень охоплення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освітніми програмами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  <w:trHeight w:val="435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F927E4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Фінансова підтримка закладів охорони </w:t>
            </w:r>
            <w:proofErr w:type="spellStart"/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="001628EF"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на матеріальне стимулювання працівників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F927E4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7.1. 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Матеріальне стимулювання працівників закладів охорони здоров</w:t>
            </w:r>
            <w:r w:rsidR="001628EF" w:rsidRPr="0060450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’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709" w:type="dxa"/>
            <w:gridSpan w:val="6"/>
            <w:vMerge w:val="restart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</w:p>
          <w:p w:rsidR="001628EF" w:rsidRPr="002D2DA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Заклади охорони здоров</w:t>
            </w:r>
            <w:r w:rsidRPr="0060450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  <w:r w:rsidR="00A9441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кошти місцевих бюджетів, як </w:t>
            </w:r>
            <w:proofErr w:type="spellStart"/>
            <w:r w:rsidR="00A9441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співфінансування</w:t>
            </w:r>
            <w:proofErr w:type="spellEnd"/>
            <w:r w:rsidR="00A9441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засновників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48 000,00</w:t>
            </w:r>
          </w:p>
        </w:tc>
        <w:tc>
          <w:tcPr>
            <w:tcW w:w="2096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16 000,00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17 000,00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  <w:trHeight w:val="465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працівників, осіб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970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980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990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  <w:trHeight w:val="450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середній розмір стимулювання на одного працівника, тис. грн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15,49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16,33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17,17</w:t>
            </w:r>
          </w:p>
        </w:tc>
      </w:tr>
      <w:tr w:rsidR="001628EF" w:rsidRPr="000346C1" w:rsidTr="00744504">
        <w:trPr>
          <w:gridBefore w:val="1"/>
          <w:gridAfter w:val="2"/>
          <w:wBefore w:w="141" w:type="dxa"/>
          <w:wAfter w:w="150" w:type="dxa"/>
          <w:trHeight w:val="645"/>
        </w:trPr>
        <w:tc>
          <w:tcPr>
            <w:tcW w:w="1583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6" w:type="dxa"/>
            <w:gridSpan w:val="5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0346C1" w:rsidTr="00744504">
        <w:trPr>
          <w:gridBefore w:val="1"/>
          <w:gridAfter w:val="2"/>
          <w:wBefore w:w="141" w:type="dxa"/>
          <w:wAfter w:w="150" w:type="dxa"/>
          <w:trHeight w:val="425"/>
        </w:trPr>
        <w:tc>
          <w:tcPr>
            <w:tcW w:w="1583" w:type="dxa"/>
            <w:gridSpan w:val="8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shd w:val="clear" w:color="auto" w:fill="auto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gridSpan w:val="12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</w:t>
            </w:r>
            <w:proofErr w:type="spellEnd"/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6.1.-7.1.: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48 000,00</w:t>
            </w:r>
          </w:p>
        </w:tc>
        <w:tc>
          <w:tcPr>
            <w:tcW w:w="2096" w:type="dxa"/>
            <w:gridSpan w:val="5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021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34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16 000,00</w:t>
            </w:r>
          </w:p>
        </w:tc>
        <w:tc>
          <w:tcPr>
            <w:tcW w:w="1105" w:type="dxa"/>
            <w:gridSpan w:val="5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17 000,00</w:t>
            </w:r>
          </w:p>
        </w:tc>
      </w:tr>
      <w:tr w:rsidR="001628EF" w:rsidRPr="000346C1" w:rsidTr="00744504">
        <w:trPr>
          <w:gridBefore w:val="1"/>
          <w:gridAfter w:val="1"/>
          <w:wBefore w:w="141" w:type="dxa"/>
          <w:wAfter w:w="37" w:type="dxa"/>
        </w:trPr>
        <w:tc>
          <w:tcPr>
            <w:tcW w:w="15982" w:type="dxa"/>
            <w:gridSpan w:val="71"/>
            <w:shd w:val="clear" w:color="auto" w:fill="auto"/>
          </w:tcPr>
          <w:p w:rsidR="001628EF" w:rsidRPr="00FA681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Фінансова підтримка населення на оплату медичних послуг та лікарських засобів</w:t>
            </w:r>
          </w:p>
        </w:tc>
      </w:tr>
      <w:tr w:rsidR="00717CB1" w:rsidRPr="000346C1" w:rsidTr="00744504">
        <w:trPr>
          <w:gridBefore w:val="1"/>
          <w:gridAfter w:val="1"/>
          <w:wBefore w:w="141" w:type="dxa"/>
          <w:wAfter w:w="37" w:type="dxa"/>
          <w:trHeight w:val="330"/>
        </w:trPr>
        <w:tc>
          <w:tcPr>
            <w:tcW w:w="1583" w:type="dxa"/>
            <w:gridSpan w:val="8"/>
            <w:vMerge w:val="restart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8. Забезпечення пільгових категорій населення лікарськими засобами та виробами медичного призначення 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8.1.</w:t>
            </w: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Відшкодування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вартості лікарських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засобів, відпущених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безкоштовно або на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пільгових умовах у разі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амбулаторного лікування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пацієнтів КНП</w:t>
            </w:r>
          </w:p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«БМЦПМСД»</w:t>
            </w:r>
          </w:p>
        </w:tc>
        <w:tc>
          <w:tcPr>
            <w:tcW w:w="709" w:type="dxa"/>
            <w:gridSpan w:val="6"/>
            <w:vMerge w:val="restart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«Бориспільський МЦПМСД»,</w:t>
            </w:r>
          </w:p>
          <w:p w:rsidR="00717CB1" w:rsidRPr="00491CD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КП «Бориспільська центральна аптека № 24»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26 490,00</w:t>
            </w:r>
          </w:p>
        </w:tc>
        <w:tc>
          <w:tcPr>
            <w:tcW w:w="2096" w:type="dxa"/>
            <w:gridSpan w:val="5"/>
          </w:tcPr>
          <w:p w:rsidR="00717CB1" w:rsidRPr="00536B0A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8 400,00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8 850,00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9 240,00</w:t>
            </w:r>
          </w:p>
        </w:tc>
      </w:tr>
      <w:tr w:rsidR="00717CB1" w:rsidRPr="000346C1" w:rsidTr="00744504">
        <w:trPr>
          <w:gridBefore w:val="1"/>
          <w:gridAfter w:val="1"/>
          <w:wBefore w:w="141" w:type="dxa"/>
          <w:wAfter w:w="37" w:type="dxa"/>
          <w:trHeight w:val="45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8 400,00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пацієнтів, осіб.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550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607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677</w:t>
            </w:r>
          </w:p>
        </w:tc>
      </w:tr>
      <w:tr w:rsidR="00717CB1" w:rsidRPr="000346C1" w:rsidTr="00744504">
        <w:trPr>
          <w:gridBefore w:val="1"/>
          <w:gridAfter w:val="1"/>
          <w:wBefore w:w="141" w:type="dxa"/>
          <w:wAfter w:w="37" w:type="dxa"/>
          <w:trHeight w:val="63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8 850,00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середня витрати на 1 пацієнта, тис. грн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15,27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14,58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13,65</w:t>
            </w:r>
          </w:p>
        </w:tc>
      </w:tr>
      <w:tr w:rsidR="00717CB1" w:rsidRPr="000346C1" w:rsidTr="00744504">
        <w:trPr>
          <w:gridBefore w:val="1"/>
          <w:gridAfter w:val="1"/>
          <w:wBefore w:w="141" w:type="dxa"/>
          <w:wAfter w:w="37" w:type="dxa"/>
          <w:trHeight w:val="111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9 240,00</w:t>
            </w:r>
          </w:p>
        </w:tc>
        <w:tc>
          <w:tcPr>
            <w:tcW w:w="2096" w:type="dxa"/>
            <w:gridSpan w:val="5"/>
          </w:tcPr>
          <w:p w:rsidR="00717CB1" w:rsidRPr="00F927E4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717CB1" w:rsidRPr="00D173AC" w:rsidTr="00744504">
        <w:trPr>
          <w:gridBefore w:val="1"/>
          <w:gridAfter w:val="1"/>
          <w:wBefore w:w="141" w:type="dxa"/>
          <w:wAfter w:w="37" w:type="dxa"/>
          <w:trHeight w:val="48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8.2.</w:t>
            </w:r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Відшкодування 100% вартості медичних препаратів для базисної терапії та </w:t>
            </w:r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терапії супроводу, які відновлюють </w:t>
            </w:r>
            <w:proofErr w:type="spellStart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еритропоез</w:t>
            </w:r>
            <w:proofErr w:type="spellEnd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у разі амбулаторного лікування хворих з незворотнім ураженням нирок з термінальною стадією хронічної ниркової недостатності, яким проводиться </w:t>
            </w:r>
            <w:proofErr w:type="spellStart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бікарбонатний</w:t>
            </w:r>
            <w:proofErr w:type="spellEnd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гемодіаліз</w:t>
            </w:r>
          </w:p>
        </w:tc>
        <w:tc>
          <w:tcPr>
            <w:tcW w:w="709" w:type="dxa"/>
            <w:gridSpan w:val="6"/>
            <w:vMerge w:val="restart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КНП «Бориспільський МЦПМСД»,</w:t>
            </w:r>
          </w:p>
          <w:p w:rsidR="00717CB1" w:rsidRPr="00491CD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КП «Бориспільська центральна аптека № 24»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3 900,00</w:t>
            </w:r>
          </w:p>
        </w:tc>
        <w:tc>
          <w:tcPr>
            <w:tcW w:w="2096" w:type="dxa"/>
            <w:gridSpan w:val="5"/>
          </w:tcPr>
          <w:p w:rsidR="00717CB1" w:rsidRPr="00536B0A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1 200,00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1 300,00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1 400,00</w:t>
            </w:r>
          </w:p>
        </w:tc>
      </w:tr>
      <w:tr w:rsidR="00717CB1" w:rsidRPr="00D173AC" w:rsidTr="00744504">
        <w:trPr>
          <w:gridBefore w:val="1"/>
          <w:gridAfter w:val="1"/>
          <w:wBefore w:w="141" w:type="dxa"/>
          <w:wAfter w:w="37" w:type="dxa"/>
          <w:trHeight w:val="57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 1 200,00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пацієнтів, осіб.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</w:tr>
      <w:tr w:rsidR="00717CB1" w:rsidRPr="00D173AC" w:rsidTr="00744504">
        <w:trPr>
          <w:gridBefore w:val="1"/>
          <w:gridAfter w:val="1"/>
          <w:wBefore w:w="141" w:type="dxa"/>
          <w:wAfter w:w="37" w:type="dxa"/>
          <w:trHeight w:val="810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1 300,00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середня витрати на 1 пацієнта, тис. грн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162,50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175,00</w:t>
            </w:r>
          </w:p>
        </w:tc>
      </w:tr>
      <w:tr w:rsidR="00717CB1" w:rsidRPr="00D173AC" w:rsidTr="00744504">
        <w:trPr>
          <w:gridBefore w:val="1"/>
          <w:gridAfter w:val="1"/>
          <w:wBefore w:w="141" w:type="dxa"/>
          <w:wAfter w:w="37" w:type="dxa"/>
          <w:trHeight w:val="2415"/>
        </w:trPr>
        <w:tc>
          <w:tcPr>
            <w:tcW w:w="1583" w:type="dxa"/>
            <w:gridSpan w:val="8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1400,00</w:t>
            </w:r>
          </w:p>
        </w:tc>
        <w:tc>
          <w:tcPr>
            <w:tcW w:w="209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D173AC" w:rsidTr="00744504">
        <w:trPr>
          <w:gridAfter w:val="3"/>
          <w:wAfter w:w="289" w:type="dxa"/>
          <w:trHeight w:val="645"/>
        </w:trPr>
        <w:tc>
          <w:tcPr>
            <w:tcW w:w="1585" w:type="dxa"/>
            <w:gridSpan w:val="7"/>
            <w:vMerge w:val="restart"/>
            <w:shd w:val="clear" w:color="auto" w:fill="auto"/>
          </w:tcPr>
          <w:p w:rsidR="001628EF" w:rsidRPr="00A0674F" w:rsidRDefault="001628EF" w:rsidP="00744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455A38" w:rsidRDefault="00344340" w:rsidP="001628EF">
            <w:pPr>
              <w:ind w:left="0" w:hanging="2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8.3.</w:t>
            </w:r>
            <w:r w:rsidR="001628EF" w:rsidRPr="00455A38">
              <w:rPr>
                <w:sz w:val="24"/>
                <w:szCs w:val="24"/>
                <w:lang w:val="uk-UA"/>
              </w:rPr>
              <w:t xml:space="preserve">Відшкодування вартості </w:t>
            </w:r>
            <w:r w:rsidR="001628EF" w:rsidRPr="00455A38">
              <w:rPr>
                <w:rFonts w:eastAsia="Calibri"/>
                <w:sz w:val="24"/>
                <w:szCs w:val="24"/>
                <w:lang w:val="uk-UA" w:eastAsia="en-US"/>
              </w:rPr>
              <w:t>медичних виробів та інших засобів для безоплатного забезпечення осіб з інвалідністю та дітей з інвалідністю або за рішенням ЛКК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</w:tcPr>
          <w:p w:rsidR="001628EF" w:rsidRPr="004B714E" w:rsidRDefault="001628EF" w:rsidP="001628EF">
            <w:pPr>
              <w:ind w:left="0" w:hanging="2"/>
              <w:rPr>
                <w:sz w:val="22"/>
                <w:szCs w:val="22"/>
                <w:lang w:val="uk-UA"/>
              </w:rPr>
            </w:pPr>
            <w:r w:rsidRPr="004B714E">
              <w:rPr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«Бориспільський МЦПМСД»,</w:t>
            </w:r>
          </w:p>
          <w:p w:rsidR="001628EF" w:rsidRPr="00491CD1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КП «Бориспільська центральна аптека № 24»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4 880,00</w:t>
            </w:r>
          </w:p>
        </w:tc>
        <w:tc>
          <w:tcPr>
            <w:tcW w:w="2096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1 500,00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1 620,00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1760,00</w:t>
            </w:r>
          </w:p>
        </w:tc>
      </w:tr>
      <w:tr w:rsidR="001628EF" w:rsidRPr="00D173AC" w:rsidTr="00744504">
        <w:trPr>
          <w:gridAfter w:val="3"/>
          <w:wAfter w:w="289" w:type="dxa"/>
          <w:trHeight w:val="645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1 500,00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найменувань, од.</w:t>
            </w:r>
          </w:p>
        </w:tc>
        <w:tc>
          <w:tcPr>
            <w:tcW w:w="1021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05" w:type="dxa"/>
            <w:gridSpan w:val="5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</w:tr>
      <w:tr w:rsidR="001628EF" w:rsidRPr="00D173AC" w:rsidTr="00744504">
        <w:trPr>
          <w:gridAfter w:val="3"/>
          <w:wAfter w:w="289" w:type="dxa"/>
          <w:trHeight w:val="66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1 620,00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найменування, тис. грн</w:t>
            </w:r>
          </w:p>
        </w:tc>
        <w:tc>
          <w:tcPr>
            <w:tcW w:w="1021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166,67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105" w:type="dxa"/>
            <w:gridSpan w:val="5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195,56</w:t>
            </w:r>
          </w:p>
        </w:tc>
      </w:tr>
      <w:tr w:rsidR="001628EF" w:rsidRPr="00D173AC" w:rsidTr="00744504">
        <w:trPr>
          <w:gridAfter w:val="3"/>
          <w:wAfter w:w="289" w:type="dxa"/>
          <w:trHeight w:val="78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1760,00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956A67" w:rsidTr="00744504">
        <w:trPr>
          <w:gridAfter w:val="3"/>
          <w:wAfter w:w="289" w:type="dxa"/>
          <w:trHeight w:val="780"/>
        </w:trPr>
        <w:tc>
          <w:tcPr>
            <w:tcW w:w="1585" w:type="dxa"/>
            <w:gridSpan w:val="7"/>
            <w:vMerge w:val="restart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</w:tcPr>
          <w:p w:rsidR="001628EF" w:rsidRPr="00A0674F" w:rsidRDefault="00280C02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Надання медичних послуг пільговим категоріям населення понад </w:t>
            </w:r>
            <w:r w:rsidR="001628EF" w:rsidRPr="00956A6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програму державних </w:t>
            </w:r>
            <w:r w:rsidR="001628EF" w:rsidRPr="00956A6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гарантій медичного обслуговування населення</w:t>
            </w:r>
          </w:p>
        </w:tc>
        <w:tc>
          <w:tcPr>
            <w:tcW w:w="2408" w:type="dxa"/>
            <w:gridSpan w:val="7"/>
            <w:vMerge w:val="restart"/>
            <w:shd w:val="clear" w:color="auto" w:fill="auto"/>
          </w:tcPr>
          <w:p w:rsidR="001628EF" w:rsidRPr="00A0674F" w:rsidRDefault="00280C02" w:rsidP="003E21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9.1.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Відшкодування вартості стоматологічних послуг окремим категоріям осіб, які захищають незал</w:t>
            </w:r>
            <w:r w:rsidR="003E218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жність, суверенітет та територіальну 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цілісність, понад програму державних гарантій медичного обслуговування населення</w:t>
            </w:r>
          </w:p>
        </w:tc>
        <w:tc>
          <w:tcPr>
            <w:tcW w:w="709" w:type="dxa"/>
            <w:gridSpan w:val="6"/>
            <w:vMerge w:val="restart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4B714E">
              <w:rPr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«БСЦ»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7 500,00</w:t>
            </w:r>
          </w:p>
        </w:tc>
        <w:tc>
          <w:tcPr>
            <w:tcW w:w="2096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2 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 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</w:tr>
      <w:tr w:rsidR="001628EF" w:rsidRPr="00956A67" w:rsidTr="00744504">
        <w:trPr>
          <w:gridAfter w:val="3"/>
          <w:wAfter w:w="289" w:type="dxa"/>
          <w:trHeight w:val="75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рік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одержувачів послуг, осіб.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137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171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205</w:t>
            </w:r>
          </w:p>
        </w:tc>
      </w:tr>
      <w:tr w:rsidR="001628EF" w:rsidRPr="00956A67" w:rsidTr="00744504">
        <w:trPr>
          <w:gridAfter w:val="3"/>
          <w:wAfter w:w="289" w:type="dxa"/>
          <w:trHeight w:val="960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2 500,00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пацієнта, тис. грн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</w:tr>
      <w:tr w:rsidR="001628EF" w:rsidRPr="00956A67" w:rsidTr="00744504">
        <w:trPr>
          <w:gridAfter w:val="3"/>
          <w:wAfter w:w="289" w:type="dxa"/>
          <w:trHeight w:val="1035"/>
        </w:trPr>
        <w:tc>
          <w:tcPr>
            <w:tcW w:w="1585" w:type="dxa"/>
            <w:gridSpan w:val="7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8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3 000,00</w:t>
            </w:r>
          </w:p>
        </w:tc>
        <w:tc>
          <w:tcPr>
            <w:tcW w:w="2096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956A67" w:rsidTr="00744504">
        <w:trPr>
          <w:trHeight w:val="705"/>
        </w:trPr>
        <w:tc>
          <w:tcPr>
            <w:tcW w:w="1588" w:type="dxa"/>
            <w:gridSpan w:val="8"/>
            <w:vMerge w:val="restart"/>
            <w:shd w:val="clear" w:color="auto" w:fill="auto"/>
          </w:tcPr>
          <w:p w:rsidR="001628EF" w:rsidRPr="00A0674F" w:rsidRDefault="001628EF" w:rsidP="00744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 w:val="restart"/>
            <w:shd w:val="clear" w:color="auto" w:fill="auto"/>
          </w:tcPr>
          <w:p w:rsidR="001628EF" w:rsidRPr="00A0674F" w:rsidRDefault="00280C02" w:rsidP="00631B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9.</w:t>
            </w:r>
            <w:r w:rsidR="00631BD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Відшкодування витрат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 разі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стаціонарн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ого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лікування у КНП «ББЛІЛ» ветеранів війни, учасників бойових дій, осіб з інвалідністю внаслідок російсько-української війни понад програму державних гарантій</w:t>
            </w:r>
            <w:r w:rsidR="001628EF" w:rsidRPr="00AE20DC">
              <w:rPr>
                <w:lang w:val="uk-UA"/>
              </w:rPr>
              <w:t xml:space="preserve"> </w:t>
            </w:r>
            <w:r w:rsidR="001628EF" w:rsidRPr="00AE20D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медичного обслуговування населення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gridSpan w:val="6"/>
            <w:vMerge w:val="restart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«ББЛІЛ»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1628EF" w:rsidRPr="00A0674F" w:rsidRDefault="00144B48" w:rsidP="00144B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7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34" w:type="dxa"/>
            <w:gridSpan w:val="8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05" w:type="dxa"/>
            <w:gridSpan w:val="5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4 00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</w:tr>
      <w:tr w:rsidR="001628EF" w:rsidRPr="00956A67" w:rsidTr="00744504">
        <w:trPr>
          <w:trHeight w:val="825"/>
        </w:trPr>
        <w:tc>
          <w:tcPr>
            <w:tcW w:w="1588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рік </w:t>
            </w:r>
          </w:p>
          <w:p w:rsidR="001628EF" w:rsidRPr="00A0674F" w:rsidRDefault="004E4529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3751A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одержувачів послуг, осіб.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134" w:type="dxa"/>
            <w:gridSpan w:val="8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</w:tr>
      <w:tr w:rsidR="001628EF" w:rsidRPr="00956A67" w:rsidTr="00744504">
        <w:trPr>
          <w:trHeight w:val="825"/>
        </w:trPr>
        <w:tc>
          <w:tcPr>
            <w:tcW w:w="1588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4E4529" w:rsidP="00375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3751A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пацієнта, тис. грн</w:t>
            </w:r>
          </w:p>
        </w:tc>
        <w:tc>
          <w:tcPr>
            <w:tcW w:w="1021" w:type="dxa"/>
            <w:gridSpan w:val="7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gridSpan w:val="8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5,00</w:t>
            </w:r>
          </w:p>
        </w:tc>
        <w:tc>
          <w:tcPr>
            <w:tcW w:w="1105" w:type="dxa"/>
            <w:gridSpan w:val="5"/>
          </w:tcPr>
          <w:p w:rsidR="001628EF" w:rsidRPr="00A0674F" w:rsidRDefault="00631BDE" w:rsidP="00631B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</w:t>
            </w:r>
          </w:p>
        </w:tc>
      </w:tr>
      <w:tr w:rsidR="001628EF" w:rsidRPr="00956A67" w:rsidTr="00744504">
        <w:trPr>
          <w:trHeight w:val="451"/>
        </w:trPr>
        <w:tc>
          <w:tcPr>
            <w:tcW w:w="1588" w:type="dxa"/>
            <w:gridSpan w:val="8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4E4529" w:rsidP="004E452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4 00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8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956A67" w:rsidTr="00744504">
        <w:trPr>
          <w:trHeight w:val="451"/>
        </w:trPr>
        <w:tc>
          <w:tcPr>
            <w:tcW w:w="1588" w:type="dxa"/>
            <w:gridSpan w:val="8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gridSpan w:val="14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Разом: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8.1-9.2.: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770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097" w:type="dxa"/>
            <w:gridSpan w:val="5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021" w:type="dxa"/>
            <w:gridSpan w:val="7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15100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gridSpan w:val="8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17270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05" w:type="dxa"/>
            <w:gridSpan w:val="5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19400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</w:tr>
      <w:tr w:rsidR="001628EF" w:rsidRPr="00455A38" w:rsidTr="00744504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1628EF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53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8 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580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744504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172 410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744504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195 760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744504">
        <w:tc>
          <w:tcPr>
            <w:tcW w:w="1588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6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9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7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0 410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0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</w:tbl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p w:rsidR="00A0674F" w:rsidRPr="003751A8" w:rsidRDefault="003751A8" w:rsidP="00A0674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</w:pPr>
      <w:r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 xml:space="preserve">7. </w:t>
      </w:r>
      <w:r w:rsidR="00A0674F" w:rsidRPr="003751A8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 xml:space="preserve">Індикатори </w:t>
      </w:r>
      <w:r w:rsidR="00C43713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>П</w:t>
      </w:r>
      <w:r w:rsidR="00A0674F" w:rsidRPr="003751A8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>рограми</w:t>
      </w:r>
    </w:p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2988"/>
      </w:tblGrid>
      <w:tr w:rsidR="008A1B14" w:rsidRPr="00A0674F" w:rsidTr="00F77CD2">
        <w:trPr>
          <w:trHeight w:val="1040"/>
        </w:trPr>
        <w:tc>
          <w:tcPr>
            <w:tcW w:w="850" w:type="dxa"/>
            <w:vMerge w:val="restart"/>
            <w:shd w:val="clear" w:color="auto" w:fill="auto"/>
          </w:tcPr>
          <w:p w:rsidR="008A1B14" w:rsidRPr="00C43713" w:rsidRDefault="008A1B14" w:rsidP="00A0674F">
            <w:pPr>
              <w:suppressAutoHyphens w:val="0"/>
              <w:spacing w:line="240" w:lineRule="auto"/>
              <w:ind w:leftChars="0" w:left="-5749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№№</w:t>
            </w:r>
          </w:p>
          <w:p w:rsidR="008A1B14" w:rsidRPr="00C43713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№ з/п</w:t>
            </w:r>
          </w:p>
          <w:p w:rsidR="008A1B14" w:rsidRPr="00C43713" w:rsidRDefault="008A1B14" w:rsidP="00A0674F">
            <w:pPr>
              <w:suppressAutoHyphens w:val="0"/>
              <w:spacing w:line="240" w:lineRule="auto"/>
              <w:ind w:leftChars="0" w:left="-5749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з/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C43713" w:rsidRDefault="00C43713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C43713" w:rsidRDefault="008A1B14" w:rsidP="00C437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Назва індикатора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C43713" w:rsidRDefault="00C43713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C43713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Одиниця</w:t>
            </w:r>
          </w:p>
          <w:p w:rsidR="008A1B14" w:rsidRPr="00C43713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6957" w:type="dxa"/>
            <w:gridSpan w:val="3"/>
            <w:shd w:val="clear" w:color="auto" w:fill="auto"/>
          </w:tcPr>
          <w:p w:rsidR="00C43713" w:rsidRDefault="00C43713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C43713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Значення індикатора за роками</w:t>
            </w:r>
          </w:p>
        </w:tc>
      </w:tr>
      <w:tr w:rsidR="008A1B14" w:rsidRPr="00A0674F" w:rsidTr="00F77CD2">
        <w:tc>
          <w:tcPr>
            <w:tcW w:w="850" w:type="dxa"/>
            <w:vMerge/>
            <w:shd w:val="clear" w:color="auto" w:fill="auto"/>
          </w:tcPr>
          <w:p w:rsidR="008A1B14" w:rsidRPr="00C43713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8A1B14" w:rsidRPr="00C43713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A1B14" w:rsidRPr="00C43713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8A1B14" w:rsidRPr="00C43713" w:rsidRDefault="008A1B14" w:rsidP="00C437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8A1B14" w:rsidRPr="00C43713" w:rsidRDefault="008A1B14" w:rsidP="00C437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988" w:type="dxa"/>
            <w:shd w:val="clear" w:color="auto" w:fill="auto"/>
          </w:tcPr>
          <w:p w:rsidR="008A1B14" w:rsidRPr="00C43713" w:rsidRDefault="008A1B14" w:rsidP="00C4371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C43713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2027 рік</w:t>
            </w:r>
          </w:p>
        </w:tc>
      </w:tr>
      <w:tr w:rsidR="00A0674F" w:rsidRPr="00A0674F" w:rsidTr="00F77CD2">
        <w:tc>
          <w:tcPr>
            <w:tcW w:w="850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4962" w:type="dxa"/>
            <w:shd w:val="clear" w:color="auto" w:fill="auto"/>
          </w:tcPr>
          <w:p w:rsidR="00A0674F" w:rsidRPr="007139F1" w:rsidRDefault="008A1B1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Фінансова підтримка закладів охорони </w:t>
            </w:r>
            <w:proofErr w:type="spellStart"/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здоров</w:t>
            </w:r>
            <w:proofErr w:type="spellEnd"/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</w:rPr>
              <w:t>’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я, засновником яких є Бориспільська міська рада</w:t>
            </w:r>
          </w:p>
        </w:tc>
        <w:tc>
          <w:tcPr>
            <w:tcW w:w="2285" w:type="dxa"/>
            <w:shd w:val="clear" w:color="auto" w:fill="auto"/>
          </w:tcPr>
          <w:p w:rsidR="00A0674F" w:rsidRPr="007139F1" w:rsidRDefault="00443CC7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Кількість КНП</w:t>
            </w:r>
          </w:p>
        </w:tc>
        <w:tc>
          <w:tcPr>
            <w:tcW w:w="1984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2988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Освоєння бюджетних призначень на зміцнення матеріально-технічної бази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Кількість лікарів загальної практики </w:t>
            </w:r>
            <w:r w:rsidR="00C230D2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–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 сімейних</w:t>
            </w:r>
            <w:r w:rsidR="00C230D2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 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лікарів усіх форм власності на кінець року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76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85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B32E7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Забезпечення доступу населення до якісних медичних послуг на первинному </w:t>
            </w:r>
            <w:r w:rsidR="008B32E7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та спеціалізованому 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рівн</w:t>
            </w:r>
            <w:r w:rsidR="008B32E7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ях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Кількість лікарів, які надають спеціалізовану допомогу в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225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230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Оплата комунальних послуг та енергоносіїв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 xml:space="preserve">Відшкодування витрат на виплату та доставку пенсій, призначених на пільгових умовах, пенсіонерам КНП  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EC64D4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>Відшкодування вартості стоматологічних послуг окремим категоріям осіб, які захищають незалежність, суверенітет та територіальну цілісність, понад програму державних гарантій медичного обслуговування населення, від потреби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EC64D4" w:rsidTr="00F77CD2">
        <w:tc>
          <w:tcPr>
            <w:tcW w:w="850" w:type="dxa"/>
            <w:shd w:val="clear" w:color="auto" w:fill="auto"/>
          </w:tcPr>
          <w:p w:rsidR="00EC64D4" w:rsidRPr="007139F1" w:rsidRDefault="00735CDE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735CDE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 xml:space="preserve">Забезпечення окремих категорій населення лікарськими засобами та виробами медичного призначення за </w:t>
            </w: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lastRenderedPageBreak/>
              <w:t>пільговими рецептами у разі амбулаторного лікування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735CDE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lastRenderedPageBreak/>
              <w:t xml:space="preserve">Пацієнтів 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735CDE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679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735CDE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736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735CDE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806</w:t>
            </w:r>
          </w:p>
        </w:tc>
      </w:tr>
    </w:tbl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p w:rsidR="00A826AC" w:rsidRDefault="009F24DA" w:rsidP="00A82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8. Координація та контроль за ходом виконання Програми</w:t>
      </w:r>
      <w:r w:rsidR="00A82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9A3178" w:rsidRDefault="009A3178" w:rsidP="00A82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F24DA" w:rsidRPr="00FA13DF" w:rsidRDefault="009F24DA" w:rsidP="009A3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right="283" w:firstLineChars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Координація та контроль за ходом виконання </w:t>
      </w:r>
      <w:r w:rsidR="00A82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рограми покладається на заступника міського голови відповідно до розподілу обов’язків та забезпечується управлінням </w:t>
      </w:r>
      <w:r w:rsidR="008D45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економіки виконавчого комітету </w:t>
      </w: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ради.</w:t>
      </w:r>
      <w:r w:rsidR="00A826AC" w:rsidRPr="00A826AC">
        <w:rPr>
          <w:rFonts w:ascii="Times New Roman" w:eastAsia="Times New Roman" w:hAnsi="Times New Roman" w:cs="Times New Roman"/>
          <w:b/>
          <w:snapToGrid/>
          <w:position w:val="0"/>
          <w:sz w:val="20"/>
          <w:szCs w:val="20"/>
          <w:lang w:val="uk-UA"/>
        </w:rPr>
        <w:t xml:space="preserve"> 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Виконання П</w:t>
      </w:r>
      <w:r w:rsidR="00A826AC" w:rsidRP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рограми здійснюється шляхом реалізації її завдань і заходів виконавцями, зазначеними у 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П</w:t>
      </w:r>
      <w:r w:rsidR="00A826AC" w:rsidRP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рограмі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.</w:t>
      </w:r>
      <w:r w:rsid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 Заклади охорони здоров</w:t>
      </w:r>
      <w:r w:rsidR="00FA13DF" w:rsidRP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’</w:t>
      </w:r>
      <w:r w:rsid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я та управління капітального будівництва міської ради щороку до 01 лютого наступного року за звітним періодом подають інформацію про хід виконання Програми для узагальнення управлінню економіки виконавчого комітету міської ради. </w:t>
      </w:r>
    </w:p>
    <w:p w:rsidR="009F24DA" w:rsidRDefault="009A3178" w:rsidP="009A3178">
      <w:pPr>
        <w:tabs>
          <w:tab w:val="left" w:pos="315"/>
          <w:tab w:val="center" w:pos="4497"/>
          <w:tab w:val="center" w:pos="4677"/>
          <w:tab w:val="right" w:pos="9355"/>
        </w:tabs>
        <w:suppressAutoHyphens w:val="0"/>
        <w:spacing w:line="240" w:lineRule="auto"/>
        <w:ind w:leftChars="0" w:left="284" w:right="283" w:firstLineChars="0" w:firstLine="425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економіки виконавчого комітету міської ради щорічно до 01 квітня інформу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міську раду про хід виконання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77CD2" w:rsidRDefault="00F77CD2" w:rsidP="009A3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napToGrid/>
          <w:position w:val="0"/>
          <w:sz w:val="20"/>
          <w:szCs w:val="20"/>
          <w:lang w:val="uk-UA"/>
        </w:rPr>
      </w:pPr>
    </w:p>
    <w:p w:rsidR="00E804CB" w:rsidRPr="00413B6C" w:rsidRDefault="006A5BD6" w:rsidP="007139F1">
      <w:pPr>
        <w:tabs>
          <w:tab w:val="left" w:pos="315"/>
          <w:tab w:val="center" w:pos="4497"/>
          <w:tab w:val="center" w:pos="4677"/>
          <w:tab w:val="right" w:pos="9355"/>
        </w:tabs>
        <w:suppressAutoHyphens w:val="0"/>
        <w:spacing w:line="240" w:lineRule="auto"/>
        <w:ind w:leftChars="0" w:left="0" w:right="283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napToGrid/>
          <w:position w:val="0"/>
          <w:sz w:val="20"/>
          <w:szCs w:val="20"/>
          <w:lang w:val="uk-UA"/>
        </w:rPr>
        <w:t>_____________________________________________________________</w:t>
      </w:r>
    </w:p>
    <w:sectPr w:rsidR="00E804CB" w:rsidRPr="00413B6C" w:rsidSect="00F77CD2">
      <w:headerReference w:type="default" r:id="rId9"/>
      <w:footerReference w:type="even" r:id="rId10"/>
      <w:footerReference w:type="default" r:id="rId11"/>
      <w:pgSz w:w="16840" w:h="11904" w:orient="landscape" w:code="9"/>
      <w:pgMar w:top="567" w:right="510" w:bottom="284" w:left="397" w:header="34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F7" w:rsidRDefault="004666F7">
      <w:pPr>
        <w:spacing w:line="240" w:lineRule="auto"/>
        <w:ind w:left="0" w:hanging="2"/>
      </w:pPr>
      <w:r>
        <w:separator/>
      </w:r>
    </w:p>
  </w:endnote>
  <w:endnote w:type="continuationSeparator" w:id="0">
    <w:p w:rsidR="004666F7" w:rsidRDefault="004666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88" w:rsidRDefault="00B70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B70588" w:rsidRDefault="00B70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B70588" w:rsidRDefault="00B70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B70588" w:rsidRDefault="00B70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B70588" w:rsidRDefault="00B70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88" w:rsidRPr="00744504" w:rsidRDefault="00B70588" w:rsidP="00744504">
    <w:pPr>
      <w:pStyle w:val="af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F7" w:rsidRDefault="004666F7">
      <w:pPr>
        <w:spacing w:line="240" w:lineRule="auto"/>
        <w:ind w:left="0" w:hanging="2"/>
      </w:pPr>
      <w:r>
        <w:separator/>
      </w:r>
    </w:p>
  </w:footnote>
  <w:footnote w:type="continuationSeparator" w:id="0">
    <w:p w:rsidR="004666F7" w:rsidRDefault="004666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88" w:rsidRDefault="00B70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545"/>
      </w:tabs>
      <w:spacing w:line="240" w:lineRule="auto"/>
      <w:ind w:left="1" w:hanging="3"/>
      <w:jc w:val="left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108D4"/>
    <w:multiLevelType w:val="multilevel"/>
    <w:tmpl w:val="DACA276A"/>
    <w:lvl w:ilvl="0">
      <w:start w:val="1"/>
      <w:numFmt w:val="bullet"/>
      <w:lvlText w:val="●"/>
      <w:lvlJc w:val="left"/>
      <w:pPr>
        <w:ind w:left="284" w:firstLine="7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CB"/>
    <w:rsid w:val="00002D1F"/>
    <w:rsid w:val="0000390B"/>
    <w:rsid w:val="000112B6"/>
    <w:rsid w:val="00014FD9"/>
    <w:rsid w:val="00020BAB"/>
    <w:rsid w:val="00025943"/>
    <w:rsid w:val="00025E89"/>
    <w:rsid w:val="00030FFC"/>
    <w:rsid w:val="00031D6C"/>
    <w:rsid w:val="00032617"/>
    <w:rsid w:val="000327C9"/>
    <w:rsid w:val="000346C1"/>
    <w:rsid w:val="00034B73"/>
    <w:rsid w:val="00037F88"/>
    <w:rsid w:val="0004038D"/>
    <w:rsid w:val="00042838"/>
    <w:rsid w:val="00043B04"/>
    <w:rsid w:val="00045F4E"/>
    <w:rsid w:val="00046545"/>
    <w:rsid w:val="00047560"/>
    <w:rsid w:val="00060A8C"/>
    <w:rsid w:val="00061244"/>
    <w:rsid w:val="00065F85"/>
    <w:rsid w:val="00065FE1"/>
    <w:rsid w:val="000665BC"/>
    <w:rsid w:val="00073A5A"/>
    <w:rsid w:val="00074B60"/>
    <w:rsid w:val="00076A00"/>
    <w:rsid w:val="00076C58"/>
    <w:rsid w:val="00077B8D"/>
    <w:rsid w:val="000814D5"/>
    <w:rsid w:val="000837B9"/>
    <w:rsid w:val="00083A6E"/>
    <w:rsid w:val="00087B64"/>
    <w:rsid w:val="000917C9"/>
    <w:rsid w:val="000974B6"/>
    <w:rsid w:val="000A2B79"/>
    <w:rsid w:val="000A3F90"/>
    <w:rsid w:val="000A6206"/>
    <w:rsid w:val="000B5D91"/>
    <w:rsid w:val="000B75A3"/>
    <w:rsid w:val="000C23C9"/>
    <w:rsid w:val="000C322C"/>
    <w:rsid w:val="000C3F10"/>
    <w:rsid w:val="000C4B07"/>
    <w:rsid w:val="000C5EA7"/>
    <w:rsid w:val="000C6105"/>
    <w:rsid w:val="000C66B6"/>
    <w:rsid w:val="000C6F2E"/>
    <w:rsid w:val="000C7F18"/>
    <w:rsid w:val="000D463B"/>
    <w:rsid w:val="000D7A7D"/>
    <w:rsid w:val="000E0CA0"/>
    <w:rsid w:val="000E14BB"/>
    <w:rsid w:val="000E22DA"/>
    <w:rsid w:val="000E2643"/>
    <w:rsid w:val="000E47EA"/>
    <w:rsid w:val="000F05ED"/>
    <w:rsid w:val="000F0C2E"/>
    <w:rsid w:val="000F290A"/>
    <w:rsid w:val="000F3205"/>
    <w:rsid w:val="000F4596"/>
    <w:rsid w:val="0010173A"/>
    <w:rsid w:val="00110C69"/>
    <w:rsid w:val="001120E9"/>
    <w:rsid w:val="00114299"/>
    <w:rsid w:val="00121614"/>
    <w:rsid w:val="00123AB7"/>
    <w:rsid w:val="001247C2"/>
    <w:rsid w:val="00125192"/>
    <w:rsid w:val="001342D8"/>
    <w:rsid w:val="00136938"/>
    <w:rsid w:val="00136FC6"/>
    <w:rsid w:val="00142268"/>
    <w:rsid w:val="00142A2E"/>
    <w:rsid w:val="00144B48"/>
    <w:rsid w:val="00144B99"/>
    <w:rsid w:val="001457F9"/>
    <w:rsid w:val="0014754A"/>
    <w:rsid w:val="00147BED"/>
    <w:rsid w:val="00147FA0"/>
    <w:rsid w:val="00150F49"/>
    <w:rsid w:val="00160548"/>
    <w:rsid w:val="00161169"/>
    <w:rsid w:val="00161B5B"/>
    <w:rsid w:val="001628EF"/>
    <w:rsid w:val="00167AD3"/>
    <w:rsid w:val="00167D25"/>
    <w:rsid w:val="00171D93"/>
    <w:rsid w:val="00172BF0"/>
    <w:rsid w:val="001733DF"/>
    <w:rsid w:val="00184AF3"/>
    <w:rsid w:val="00185312"/>
    <w:rsid w:val="0018588C"/>
    <w:rsid w:val="00191D5C"/>
    <w:rsid w:val="00191DA9"/>
    <w:rsid w:val="0019276C"/>
    <w:rsid w:val="00196645"/>
    <w:rsid w:val="00197C7D"/>
    <w:rsid w:val="001A0ADC"/>
    <w:rsid w:val="001A24D3"/>
    <w:rsid w:val="001A4190"/>
    <w:rsid w:val="001B3582"/>
    <w:rsid w:val="001B360C"/>
    <w:rsid w:val="001C0749"/>
    <w:rsid w:val="001C2C85"/>
    <w:rsid w:val="001C7731"/>
    <w:rsid w:val="001D36D9"/>
    <w:rsid w:val="001D38F5"/>
    <w:rsid w:val="001D44DA"/>
    <w:rsid w:val="001D55FD"/>
    <w:rsid w:val="001E76AE"/>
    <w:rsid w:val="001E7865"/>
    <w:rsid w:val="001F0074"/>
    <w:rsid w:val="001F1318"/>
    <w:rsid w:val="001F4E2A"/>
    <w:rsid w:val="001F5BEC"/>
    <w:rsid w:val="001F631B"/>
    <w:rsid w:val="001F68DC"/>
    <w:rsid w:val="0020031E"/>
    <w:rsid w:val="0020429A"/>
    <w:rsid w:val="00204FAE"/>
    <w:rsid w:val="0020751B"/>
    <w:rsid w:val="00211425"/>
    <w:rsid w:val="00212952"/>
    <w:rsid w:val="00221398"/>
    <w:rsid w:val="00221485"/>
    <w:rsid w:val="00222B7A"/>
    <w:rsid w:val="00222BA9"/>
    <w:rsid w:val="00223E02"/>
    <w:rsid w:val="00232F77"/>
    <w:rsid w:val="00234998"/>
    <w:rsid w:val="00235A41"/>
    <w:rsid w:val="002378E0"/>
    <w:rsid w:val="00240020"/>
    <w:rsid w:val="00243409"/>
    <w:rsid w:val="002461EA"/>
    <w:rsid w:val="00261BBF"/>
    <w:rsid w:val="00262A55"/>
    <w:rsid w:val="00273986"/>
    <w:rsid w:val="00274CA5"/>
    <w:rsid w:val="002778FB"/>
    <w:rsid w:val="00280C02"/>
    <w:rsid w:val="00281C60"/>
    <w:rsid w:val="00286553"/>
    <w:rsid w:val="00291739"/>
    <w:rsid w:val="002A07A2"/>
    <w:rsid w:val="002A4ED0"/>
    <w:rsid w:val="002A5DF4"/>
    <w:rsid w:val="002A6482"/>
    <w:rsid w:val="002B0191"/>
    <w:rsid w:val="002B6556"/>
    <w:rsid w:val="002C4974"/>
    <w:rsid w:val="002C6355"/>
    <w:rsid w:val="002C6B2C"/>
    <w:rsid w:val="002C75F8"/>
    <w:rsid w:val="002D0FE1"/>
    <w:rsid w:val="002D2DA0"/>
    <w:rsid w:val="002D44C7"/>
    <w:rsid w:val="002D7C38"/>
    <w:rsid w:val="002E1C75"/>
    <w:rsid w:val="002E3CB2"/>
    <w:rsid w:val="002E583F"/>
    <w:rsid w:val="002F20F6"/>
    <w:rsid w:val="002F36F0"/>
    <w:rsid w:val="00302C97"/>
    <w:rsid w:val="00304AEF"/>
    <w:rsid w:val="00305929"/>
    <w:rsid w:val="00305DCE"/>
    <w:rsid w:val="00310191"/>
    <w:rsid w:val="00312852"/>
    <w:rsid w:val="00312A2C"/>
    <w:rsid w:val="0031516F"/>
    <w:rsid w:val="0031786C"/>
    <w:rsid w:val="00326C05"/>
    <w:rsid w:val="00326FB8"/>
    <w:rsid w:val="0033143C"/>
    <w:rsid w:val="00331D85"/>
    <w:rsid w:val="00333CD7"/>
    <w:rsid w:val="00335402"/>
    <w:rsid w:val="00343BCA"/>
    <w:rsid w:val="00344340"/>
    <w:rsid w:val="00345856"/>
    <w:rsid w:val="003479B6"/>
    <w:rsid w:val="003516E3"/>
    <w:rsid w:val="003579E2"/>
    <w:rsid w:val="0036094F"/>
    <w:rsid w:val="00360E4D"/>
    <w:rsid w:val="0036587F"/>
    <w:rsid w:val="00366994"/>
    <w:rsid w:val="00367393"/>
    <w:rsid w:val="00370918"/>
    <w:rsid w:val="00373ABB"/>
    <w:rsid w:val="003751A8"/>
    <w:rsid w:val="00382A6C"/>
    <w:rsid w:val="00382D1A"/>
    <w:rsid w:val="00386CD1"/>
    <w:rsid w:val="0039089A"/>
    <w:rsid w:val="0039382E"/>
    <w:rsid w:val="003A0364"/>
    <w:rsid w:val="003A1809"/>
    <w:rsid w:val="003A1F89"/>
    <w:rsid w:val="003A3C60"/>
    <w:rsid w:val="003A3C7D"/>
    <w:rsid w:val="003A564D"/>
    <w:rsid w:val="003B03D7"/>
    <w:rsid w:val="003B3736"/>
    <w:rsid w:val="003B38DA"/>
    <w:rsid w:val="003B4885"/>
    <w:rsid w:val="003B5DBC"/>
    <w:rsid w:val="003C1F6D"/>
    <w:rsid w:val="003C280E"/>
    <w:rsid w:val="003C3861"/>
    <w:rsid w:val="003C480F"/>
    <w:rsid w:val="003C6EF4"/>
    <w:rsid w:val="003C6F3C"/>
    <w:rsid w:val="003C72B8"/>
    <w:rsid w:val="003C7E4D"/>
    <w:rsid w:val="003D0D34"/>
    <w:rsid w:val="003D5BC4"/>
    <w:rsid w:val="003D63D2"/>
    <w:rsid w:val="003E06EC"/>
    <w:rsid w:val="003E154B"/>
    <w:rsid w:val="003E2187"/>
    <w:rsid w:val="003E4D25"/>
    <w:rsid w:val="003E7EB6"/>
    <w:rsid w:val="003F0ACE"/>
    <w:rsid w:val="003F3656"/>
    <w:rsid w:val="003F4191"/>
    <w:rsid w:val="003F4C52"/>
    <w:rsid w:val="003F6234"/>
    <w:rsid w:val="00402686"/>
    <w:rsid w:val="004026A9"/>
    <w:rsid w:val="0040324F"/>
    <w:rsid w:val="00405060"/>
    <w:rsid w:val="00405223"/>
    <w:rsid w:val="00406141"/>
    <w:rsid w:val="004061FE"/>
    <w:rsid w:val="00406D64"/>
    <w:rsid w:val="00406E21"/>
    <w:rsid w:val="0040710A"/>
    <w:rsid w:val="00411848"/>
    <w:rsid w:val="00413B6C"/>
    <w:rsid w:val="004142D4"/>
    <w:rsid w:val="00421053"/>
    <w:rsid w:val="00422FF1"/>
    <w:rsid w:val="004232A8"/>
    <w:rsid w:val="00426F47"/>
    <w:rsid w:val="00431632"/>
    <w:rsid w:val="004328D0"/>
    <w:rsid w:val="0043571B"/>
    <w:rsid w:val="00435ADC"/>
    <w:rsid w:val="00440B0C"/>
    <w:rsid w:val="00443CC7"/>
    <w:rsid w:val="00443FFC"/>
    <w:rsid w:val="00444E3A"/>
    <w:rsid w:val="004551A6"/>
    <w:rsid w:val="00455A38"/>
    <w:rsid w:val="00460985"/>
    <w:rsid w:val="00465FCD"/>
    <w:rsid w:val="004666F7"/>
    <w:rsid w:val="00467228"/>
    <w:rsid w:val="00482892"/>
    <w:rsid w:val="004871E2"/>
    <w:rsid w:val="00491CD1"/>
    <w:rsid w:val="00491E21"/>
    <w:rsid w:val="00492D98"/>
    <w:rsid w:val="0049610C"/>
    <w:rsid w:val="004A1C03"/>
    <w:rsid w:val="004A5606"/>
    <w:rsid w:val="004A6F32"/>
    <w:rsid w:val="004B119A"/>
    <w:rsid w:val="004B330A"/>
    <w:rsid w:val="004B3C9C"/>
    <w:rsid w:val="004B714E"/>
    <w:rsid w:val="004D2D9C"/>
    <w:rsid w:val="004D31A8"/>
    <w:rsid w:val="004D4790"/>
    <w:rsid w:val="004D65B5"/>
    <w:rsid w:val="004E004A"/>
    <w:rsid w:val="004E00C2"/>
    <w:rsid w:val="004E4529"/>
    <w:rsid w:val="004E600E"/>
    <w:rsid w:val="004E7724"/>
    <w:rsid w:val="004F1D21"/>
    <w:rsid w:val="004F2D5C"/>
    <w:rsid w:val="004F561C"/>
    <w:rsid w:val="004F7365"/>
    <w:rsid w:val="00505B27"/>
    <w:rsid w:val="0050694A"/>
    <w:rsid w:val="00506DEE"/>
    <w:rsid w:val="00511483"/>
    <w:rsid w:val="00512209"/>
    <w:rsid w:val="00513346"/>
    <w:rsid w:val="00514E1D"/>
    <w:rsid w:val="00515B7C"/>
    <w:rsid w:val="005166A6"/>
    <w:rsid w:val="00517323"/>
    <w:rsid w:val="0052469F"/>
    <w:rsid w:val="00531CE8"/>
    <w:rsid w:val="00531F11"/>
    <w:rsid w:val="00532189"/>
    <w:rsid w:val="00536B0A"/>
    <w:rsid w:val="00536BC1"/>
    <w:rsid w:val="005379AA"/>
    <w:rsid w:val="005401B3"/>
    <w:rsid w:val="00540ABE"/>
    <w:rsid w:val="0054504B"/>
    <w:rsid w:val="00550A2B"/>
    <w:rsid w:val="0055483E"/>
    <w:rsid w:val="005575F5"/>
    <w:rsid w:val="005578EA"/>
    <w:rsid w:val="00560940"/>
    <w:rsid w:val="00563A67"/>
    <w:rsid w:val="0056506E"/>
    <w:rsid w:val="00565511"/>
    <w:rsid w:val="00565D1F"/>
    <w:rsid w:val="00571C54"/>
    <w:rsid w:val="00576667"/>
    <w:rsid w:val="00583A13"/>
    <w:rsid w:val="00586F29"/>
    <w:rsid w:val="00587806"/>
    <w:rsid w:val="005907C6"/>
    <w:rsid w:val="00590B76"/>
    <w:rsid w:val="005A0485"/>
    <w:rsid w:val="005A1A22"/>
    <w:rsid w:val="005A2437"/>
    <w:rsid w:val="005A6DD1"/>
    <w:rsid w:val="005A718A"/>
    <w:rsid w:val="005B0172"/>
    <w:rsid w:val="005B3EDB"/>
    <w:rsid w:val="005B5B66"/>
    <w:rsid w:val="005B6559"/>
    <w:rsid w:val="005B78B3"/>
    <w:rsid w:val="005C2552"/>
    <w:rsid w:val="005C260D"/>
    <w:rsid w:val="005D2667"/>
    <w:rsid w:val="005D2F7B"/>
    <w:rsid w:val="005D33CE"/>
    <w:rsid w:val="005D69E9"/>
    <w:rsid w:val="005D6C1C"/>
    <w:rsid w:val="005D7E93"/>
    <w:rsid w:val="005E09F1"/>
    <w:rsid w:val="005E1D3C"/>
    <w:rsid w:val="005E3D00"/>
    <w:rsid w:val="005E5975"/>
    <w:rsid w:val="005E71EE"/>
    <w:rsid w:val="005F42B4"/>
    <w:rsid w:val="005F626A"/>
    <w:rsid w:val="006002B3"/>
    <w:rsid w:val="00602A3F"/>
    <w:rsid w:val="00602FBB"/>
    <w:rsid w:val="00604508"/>
    <w:rsid w:val="006078CB"/>
    <w:rsid w:val="0061566E"/>
    <w:rsid w:val="00616304"/>
    <w:rsid w:val="00617BF2"/>
    <w:rsid w:val="00623DC8"/>
    <w:rsid w:val="006305A1"/>
    <w:rsid w:val="00631BDE"/>
    <w:rsid w:val="00634C8B"/>
    <w:rsid w:val="006371B3"/>
    <w:rsid w:val="00637BF8"/>
    <w:rsid w:val="00640146"/>
    <w:rsid w:val="006422B8"/>
    <w:rsid w:val="006429BF"/>
    <w:rsid w:val="0064357A"/>
    <w:rsid w:val="0064553F"/>
    <w:rsid w:val="006505FA"/>
    <w:rsid w:val="006525A9"/>
    <w:rsid w:val="00652B18"/>
    <w:rsid w:val="00652E56"/>
    <w:rsid w:val="00653150"/>
    <w:rsid w:val="00653D54"/>
    <w:rsid w:val="00654170"/>
    <w:rsid w:val="00665490"/>
    <w:rsid w:val="00666CFC"/>
    <w:rsid w:val="0067216C"/>
    <w:rsid w:val="00672EDD"/>
    <w:rsid w:val="00681BC9"/>
    <w:rsid w:val="00683407"/>
    <w:rsid w:val="00692219"/>
    <w:rsid w:val="006A135A"/>
    <w:rsid w:val="006A1CE2"/>
    <w:rsid w:val="006A5BD6"/>
    <w:rsid w:val="006B491A"/>
    <w:rsid w:val="006C00E8"/>
    <w:rsid w:val="006C1067"/>
    <w:rsid w:val="006C3627"/>
    <w:rsid w:val="006C5A7F"/>
    <w:rsid w:val="006D1886"/>
    <w:rsid w:val="006D32F0"/>
    <w:rsid w:val="006D4DF2"/>
    <w:rsid w:val="006D5829"/>
    <w:rsid w:val="006D586C"/>
    <w:rsid w:val="006D5B38"/>
    <w:rsid w:val="006E4C3C"/>
    <w:rsid w:val="006F17B0"/>
    <w:rsid w:val="006F19E3"/>
    <w:rsid w:val="006F1B61"/>
    <w:rsid w:val="006F2209"/>
    <w:rsid w:val="007000A6"/>
    <w:rsid w:val="00710727"/>
    <w:rsid w:val="007139F1"/>
    <w:rsid w:val="00717CB1"/>
    <w:rsid w:val="00723B4A"/>
    <w:rsid w:val="007324B6"/>
    <w:rsid w:val="00734A73"/>
    <w:rsid w:val="00735CDE"/>
    <w:rsid w:val="00744504"/>
    <w:rsid w:val="00747129"/>
    <w:rsid w:val="007475EC"/>
    <w:rsid w:val="00747D43"/>
    <w:rsid w:val="00751EC1"/>
    <w:rsid w:val="00760BD9"/>
    <w:rsid w:val="00762E0A"/>
    <w:rsid w:val="0076424E"/>
    <w:rsid w:val="007667E8"/>
    <w:rsid w:val="00767FFE"/>
    <w:rsid w:val="007767F0"/>
    <w:rsid w:val="0078119D"/>
    <w:rsid w:val="00781DAC"/>
    <w:rsid w:val="007945FE"/>
    <w:rsid w:val="007A0295"/>
    <w:rsid w:val="007A28B5"/>
    <w:rsid w:val="007A5724"/>
    <w:rsid w:val="007A5CF8"/>
    <w:rsid w:val="007B0112"/>
    <w:rsid w:val="007B3F9C"/>
    <w:rsid w:val="007C48CD"/>
    <w:rsid w:val="007C5880"/>
    <w:rsid w:val="007C6C87"/>
    <w:rsid w:val="007D21D8"/>
    <w:rsid w:val="007D2330"/>
    <w:rsid w:val="007D2F81"/>
    <w:rsid w:val="007D6409"/>
    <w:rsid w:val="007D640F"/>
    <w:rsid w:val="007D7E72"/>
    <w:rsid w:val="007E118C"/>
    <w:rsid w:val="007E31F4"/>
    <w:rsid w:val="007E4F1A"/>
    <w:rsid w:val="007E6514"/>
    <w:rsid w:val="007F01F4"/>
    <w:rsid w:val="007F0841"/>
    <w:rsid w:val="007F5EEA"/>
    <w:rsid w:val="007F708F"/>
    <w:rsid w:val="00801465"/>
    <w:rsid w:val="0080197D"/>
    <w:rsid w:val="008075E6"/>
    <w:rsid w:val="00807FAE"/>
    <w:rsid w:val="0081062B"/>
    <w:rsid w:val="00812EB0"/>
    <w:rsid w:val="008244FE"/>
    <w:rsid w:val="00825FED"/>
    <w:rsid w:val="0082675E"/>
    <w:rsid w:val="00826939"/>
    <w:rsid w:val="00826C00"/>
    <w:rsid w:val="00831609"/>
    <w:rsid w:val="00832E93"/>
    <w:rsid w:val="008333AA"/>
    <w:rsid w:val="00834942"/>
    <w:rsid w:val="00835A9F"/>
    <w:rsid w:val="00835B8D"/>
    <w:rsid w:val="00837B6A"/>
    <w:rsid w:val="00840D2D"/>
    <w:rsid w:val="00841FFC"/>
    <w:rsid w:val="00842660"/>
    <w:rsid w:val="008428ED"/>
    <w:rsid w:val="00846308"/>
    <w:rsid w:val="0085419A"/>
    <w:rsid w:val="00854277"/>
    <w:rsid w:val="008572DD"/>
    <w:rsid w:val="008678D6"/>
    <w:rsid w:val="00873820"/>
    <w:rsid w:val="00874FDB"/>
    <w:rsid w:val="008751E9"/>
    <w:rsid w:val="00875A79"/>
    <w:rsid w:val="00876115"/>
    <w:rsid w:val="00880988"/>
    <w:rsid w:val="00882832"/>
    <w:rsid w:val="00886396"/>
    <w:rsid w:val="00894A7C"/>
    <w:rsid w:val="008A0E30"/>
    <w:rsid w:val="008A1B14"/>
    <w:rsid w:val="008A259E"/>
    <w:rsid w:val="008A3B77"/>
    <w:rsid w:val="008A60F9"/>
    <w:rsid w:val="008A6B50"/>
    <w:rsid w:val="008B0BCD"/>
    <w:rsid w:val="008B1648"/>
    <w:rsid w:val="008B32E7"/>
    <w:rsid w:val="008B435E"/>
    <w:rsid w:val="008B45BD"/>
    <w:rsid w:val="008B496E"/>
    <w:rsid w:val="008B5029"/>
    <w:rsid w:val="008B6A9C"/>
    <w:rsid w:val="008C12C2"/>
    <w:rsid w:val="008C1FB0"/>
    <w:rsid w:val="008C308C"/>
    <w:rsid w:val="008C70A4"/>
    <w:rsid w:val="008D4589"/>
    <w:rsid w:val="008D463D"/>
    <w:rsid w:val="008E1DD9"/>
    <w:rsid w:val="008E42EC"/>
    <w:rsid w:val="008E51D2"/>
    <w:rsid w:val="008F2693"/>
    <w:rsid w:val="008F58CC"/>
    <w:rsid w:val="008F65AD"/>
    <w:rsid w:val="008F6FDB"/>
    <w:rsid w:val="0090019E"/>
    <w:rsid w:val="00905959"/>
    <w:rsid w:val="00920CEC"/>
    <w:rsid w:val="0092157B"/>
    <w:rsid w:val="00924D6E"/>
    <w:rsid w:val="009273A4"/>
    <w:rsid w:val="00933748"/>
    <w:rsid w:val="00933CBF"/>
    <w:rsid w:val="00937F65"/>
    <w:rsid w:val="00945770"/>
    <w:rsid w:val="009463E0"/>
    <w:rsid w:val="009507BF"/>
    <w:rsid w:val="00951CC9"/>
    <w:rsid w:val="00956A67"/>
    <w:rsid w:val="0096360F"/>
    <w:rsid w:val="009675F7"/>
    <w:rsid w:val="00973045"/>
    <w:rsid w:val="0097692B"/>
    <w:rsid w:val="009801D7"/>
    <w:rsid w:val="00981384"/>
    <w:rsid w:val="00987F95"/>
    <w:rsid w:val="00994927"/>
    <w:rsid w:val="00997174"/>
    <w:rsid w:val="009A00FD"/>
    <w:rsid w:val="009A11FC"/>
    <w:rsid w:val="009A22DD"/>
    <w:rsid w:val="009A3178"/>
    <w:rsid w:val="009A38D7"/>
    <w:rsid w:val="009A74A2"/>
    <w:rsid w:val="009B51F8"/>
    <w:rsid w:val="009C7E3F"/>
    <w:rsid w:val="009D2F05"/>
    <w:rsid w:val="009D43AA"/>
    <w:rsid w:val="009D5533"/>
    <w:rsid w:val="009E06D6"/>
    <w:rsid w:val="009E1F44"/>
    <w:rsid w:val="009E2C1F"/>
    <w:rsid w:val="009E3CD9"/>
    <w:rsid w:val="009E6ADE"/>
    <w:rsid w:val="009E6D88"/>
    <w:rsid w:val="009E7D1E"/>
    <w:rsid w:val="009F0C78"/>
    <w:rsid w:val="009F10D1"/>
    <w:rsid w:val="009F22D8"/>
    <w:rsid w:val="009F23DC"/>
    <w:rsid w:val="009F24DA"/>
    <w:rsid w:val="009F3628"/>
    <w:rsid w:val="00A0072D"/>
    <w:rsid w:val="00A06690"/>
    <w:rsid w:val="00A0674F"/>
    <w:rsid w:val="00A12328"/>
    <w:rsid w:val="00A124B1"/>
    <w:rsid w:val="00A12B60"/>
    <w:rsid w:val="00A1619E"/>
    <w:rsid w:val="00A20414"/>
    <w:rsid w:val="00A239F0"/>
    <w:rsid w:val="00A254A3"/>
    <w:rsid w:val="00A25F8B"/>
    <w:rsid w:val="00A27FE1"/>
    <w:rsid w:val="00A33598"/>
    <w:rsid w:val="00A527C6"/>
    <w:rsid w:val="00A532AA"/>
    <w:rsid w:val="00A54DFB"/>
    <w:rsid w:val="00A5528C"/>
    <w:rsid w:val="00A554A9"/>
    <w:rsid w:val="00A55C67"/>
    <w:rsid w:val="00A5724B"/>
    <w:rsid w:val="00A63BD0"/>
    <w:rsid w:val="00A64B7A"/>
    <w:rsid w:val="00A65849"/>
    <w:rsid w:val="00A66AE5"/>
    <w:rsid w:val="00A74E98"/>
    <w:rsid w:val="00A7723F"/>
    <w:rsid w:val="00A779EB"/>
    <w:rsid w:val="00A8179D"/>
    <w:rsid w:val="00A826AC"/>
    <w:rsid w:val="00A82C2A"/>
    <w:rsid w:val="00A90010"/>
    <w:rsid w:val="00A91A88"/>
    <w:rsid w:val="00A92888"/>
    <w:rsid w:val="00A94140"/>
    <w:rsid w:val="00A94415"/>
    <w:rsid w:val="00A94CBB"/>
    <w:rsid w:val="00AB3D5D"/>
    <w:rsid w:val="00AB68E2"/>
    <w:rsid w:val="00AB71BE"/>
    <w:rsid w:val="00AB79E0"/>
    <w:rsid w:val="00AC1691"/>
    <w:rsid w:val="00AC1FBB"/>
    <w:rsid w:val="00AC4685"/>
    <w:rsid w:val="00AC4813"/>
    <w:rsid w:val="00AC5FB3"/>
    <w:rsid w:val="00AC7F55"/>
    <w:rsid w:val="00AD1B23"/>
    <w:rsid w:val="00AD278C"/>
    <w:rsid w:val="00AD380B"/>
    <w:rsid w:val="00AD5106"/>
    <w:rsid w:val="00AE0F7D"/>
    <w:rsid w:val="00AE15A8"/>
    <w:rsid w:val="00AE20DC"/>
    <w:rsid w:val="00AE44EC"/>
    <w:rsid w:val="00AE7FDD"/>
    <w:rsid w:val="00AF672F"/>
    <w:rsid w:val="00B02969"/>
    <w:rsid w:val="00B050AF"/>
    <w:rsid w:val="00B1352F"/>
    <w:rsid w:val="00B14F8E"/>
    <w:rsid w:val="00B1531C"/>
    <w:rsid w:val="00B15F54"/>
    <w:rsid w:val="00B1722E"/>
    <w:rsid w:val="00B208E1"/>
    <w:rsid w:val="00B2141F"/>
    <w:rsid w:val="00B267F9"/>
    <w:rsid w:val="00B26E73"/>
    <w:rsid w:val="00B401F3"/>
    <w:rsid w:val="00B409CA"/>
    <w:rsid w:val="00B410B6"/>
    <w:rsid w:val="00B421CA"/>
    <w:rsid w:val="00B42230"/>
    <w:rsid w:val="00B463BB"/>
    <w:rsid w:val="00B56ABC"/>
    <w:rsid w:val="00B5737F"/>
    <w:rsid w:val="00B60220"/>
    <w:rsid w:val="00B60652"/>
    <w:rsid w:val="00B62616"/>
    <w:rsid w:val="00B652CE"/>
    <w:rsid w:val="00B67652"/>
    <w:rsid w:val="00B67858"/>
    <w:rsid w:val="00B70588"/>
    <w:rsid w:val="00B70838"/>
    <w:rsid w:val="00B747EA"/>
    <w:rsid w:val="00B77B18"/>
    <w:rsid w:val="00B8011E"/>
    <w:rsid w:val="00B80345"/>
    <w:rsid w:val="00B843FA"/>
    <w:rsid w:val="00B85066"/>
    <w:rsid w:val="00B867F1"/>
    <w:rsid w:val="00B87EC5"/>
    <w:rsid w:val="00B904D2"/>
    <w:rsid w:val="00B9484E"/>
    <w:rsid w:val="00BA0269"/>
    <w:rsid w:val="00BA5FA6"/>
    <w:rsid w:val="00BB0CEC"/>
    <w:rsid w:val="00BB218D"/>
    <w:rsid w:val="00BB4FBF"/>
    <w:rsid w:val="00BB5D47"/>
    <w:rsid w:val="00BC4D09"/>
    <w:rsid w:val="00BC6429"/>
    <w:rsid w:val="00BC659D"/>
    <w:rsid w:val="00BD0A55"/>
    <w:rsid w:val="00BD0A7F"/>
    <w:rsid w:val="00BD34C2"/>
    <w:rsid w:val="00BD54D5"/>
    <w:rsid w:val="00BD7226"/>
    <w:rsid w:val="00BE5473"/>
    <w:rsid w:val="00BE58E3"/>
    <w:rsid w:val="00BE5A60"/>
    <w:rsid w:val="00BE5E8A"/>
    <w:rsid w:val="00BF600D"/>
    <w:rsid w:val="00C05A41"/>
    <w:rsid w:val="00C06266"/>
    <w:rsid w:val="00C11595"/>
    <w:rsid w:val="00C230D2"/>
    <w:rsid w:val="00C2318B"/>
    <w:rsid w:val="00C25DFB"/>
    <w:rsid w:val="00C30906"/>
    <w:rsid w:val="00C30C55"/>
    <w:rsid w:val="00C42679"/>
    <w:rsid w:val="00C43713"/>
    <w:rsid w:val="00C43C9E"/>
    <w:rsid w:val="00C44733"/>
    <w:rsid w:val="00C549E8"/>
    <w:rsid w:val="00C61FF6"/>
    <w:rsid w:val="00C62D87"/>
    <w:rsid w:val="00C6549E"/>
    <w:rsid w:val="00C65681"/>
    <w:rsid w:val="00C67A8F"/>
    <w:rsid w:val="00C70E5F"/>
    <w:rsid w:val="00C7258A"/>
    <w:rsid w:val="00C76AF1"/>
    <w:rsid w:val="00C772CA"/>
    <w:rsid w:val="00C7777D"/>
    <w:rsid w:val="00C800DB"/>
    <w:rsid w:val="00C809DF"/>
    <w:rsid w:val="00C87BF5"/>
    <w:rsid w:val="00C9001B"/>
    <w:rsid w:val="00C90DDB"/>
    <w:rsid w:val="00C94FD9"/>
    <w:rsid w:val="00CA7DF9"/>
    <w:rsid w:val="00CB2752"/>
    <w:rsid w:val="00CB58E8"/>
    <w:rsid w:val="00CC1856"/>
    <w:rsid w:val="00CC2A94"/>
    <w:rsid w:val="00CC315E"/>
    <w:rsid w:val="00CD3137"/>
    <w:rsid w:val="00CD5504"/>
    <w:rsid w:val="00CE1851"/>
    <w:rsid w:val="00CF3989"/>
    <w:rsid w:val="00D0143A"/>
    <w:rsid w:val="00D0191F"/>
    <w:rsid w:val="00D056DC"/>
    <w:rsid w:val="00D0644E"/>
    <w:rsid w:val="00D126F7"/>
    <w:rsid w:val="00D13AB6"/>
    <w:rsid w:val="00D173AC"/>
    <w:rsid w:val="00D22061"/>
    <w:rsid w:val="00D269EC"/>
    <w:rsid w:val="00D3051C"/>
    <w:rsid w:val="00D30F2E"/>
    <w:rsid w:val="00D417F7"/>
    <w:rsid w:val="00D432DC"/>
    <w:rsid w:val="00D452A2"/>
    <w:rsid w:val="00D50B9E"/>
    <w:rsid w:val="00D519B2"/>
    <w:rsid w:val="00D525A6"/>
    <w:rsid w:val="00D52B12"/>
    <w:rsid w:val="00D5641A"/>
    <w:rsid w:val="00D625DB"/>
    <w:rsid w:val="00D6526F"/>
    <w:rsid w:val="00D66166"/>
    <w:rsid w:val="00D6672B"/>
    <w:rsid w:val="00D70924"/>
    <w:rsid w:val="00D74DA6"/>
    <w:rsid w:val="00D7762A"/>
    <w:rsid w:val="00D80760"/>
    <w:rsid w:val="00D82378"/>
    <w:rsid w:val="00D85D08"/>
    <w:rsid w:val="00D86471"/>
    <w:rsid w:val="00D86864"/>
    <w:rsid w:val="00D921FA"/>
    <w:rsid w:val="00D96BB9"/>
    <w:rsid w:val="00DA1C8F"/>
    <w:rsid w:val="00DA3C0E"/>
    <w:rsid w:val="00DB1637"/>
    <w:rsid w:val="00DB4BE2"/>
    <w:rsid w:val="00DB70CA"/>
    <w:rsid w:val="00DC08E6"/>
    <w:rsid w:val="00DD1593"/>
    <w:rsid w:val="00DE21CD"/>
    <w:rsid w:val="00DE47EB"/>
    <w:rsid w:val="00DF3A92"/>
    <w:rsid w:val="00DF4FB2"/>
    <w:rsid w:val="00DF785B"/>
    <w:rsid w:val="00E01841"/>
    <w:rsid w:val="00E02147"/>
    <w:rsid w:val="00E03CB5"/>
    <w:rsid w:val="00E04816"/>
    <w:rsid w:val="00E05102"/>
    <w:rsid w:val="00E06D6A"/>
    <w:rsid w:val="00E10F85"/>
    <w:rsid w:val="00E1525E"/>
    <w:rsid w:val="00E1571D"/>
    <w:rsid w:val="00E15B15"/>
    <w:rsid w:val="00E21FCD"/>
    <w:rsid w:val="00E225CD"/>
    <w:rsid w:val="00E22EF9"/>
    <w:rsid w:val="00E255E3"/>
    <w:rsid w:val="00E342A4"/>
    <w:rsid w:val="00E351B2"/>
    <w:rsid w:val="00E4191F"/>
    <w:rsid w:val="00E43655"/>
    <w:rsid w:val="00E436CA"/>
    <w:rsid w:val="00E45237"/>
    <w:rsid w:val="00E46C94"/>
    <w:rsid w:val="00E47823"/>
    <w:rsid w:val="00E47DFD"/>
    <w:rsid w:val="00E50352"/>
    <w:rsid w:val="00E5095B"/>
    <w:rsid w:val="00E53186"/>
    <w:rsid w:val="00E5437A"/>
    <w:rsid w:val="00E5652A"/>
    <w:rsid w:val="00E57974"/>
    <w:rsid w:val="00E6033C"/>
    <w:rsid w:val="00E67CC9"/>
    <w:rsid w:val="00E71830"/>
    <w:rsid w:val="00E71C78"/>
    <w:rsid w:val="00E804CB"/>
    <w:rsid w:val="00E81EF9"/>
    <w:rsid w:val="00E83EDB"/>
    <w:rsid w:val="00E8402F"/>
    <w:rsid w:val="00E850D1"/>
    <w:rsid w:val="00E87531"/>
    <w:rsid w:val="00E87B77"/>
    <w:rsid w:val="00E9213E"/>
    <w:rsid w:val="00E9338A"/>
    <w:rsid w:val="00EA3797"/>
    <w:rsid w:val="00EA5621"/>
    <w:rsid w:val="00EB15F1"/>
    <w:rsid w:val="00EB1A79"/>
    <w:rsid w:val="00EB6B58"/>
    <w:rsid w:val="00EC1722"/>
    <w:rsid w:val="00EC49A0"/>
    <w:rsid w:val="00EC5135"/>
    <w:rsid w:val="00EC64D4"/>
    <w:rsid w:val="00EC6EBE"/>
    <w:rsid w:val="00EC6FBF"/>
    <w:rsid w:val="00ED0794"/>
    <w:rsid w:val="00ED4616"/>
    <w:rsid w:val="00ED6136"/>
    <w:rsid w:val="00EE7150"/>
    <w:rsid w:val="00EE72DA"/>
    <w:rsid w:val="00EF1D7F"/>
    <w:rsid w:val="00F06291"/>
    <w:rsid w:val="00F0727B"/>
    <w:rsid w:val="00F16772"/>
    <w:rsid w:val="00F16F6A"/>
    <w:rsid w:val="00F201D8"/>
    <w:rsid w:val="00F224BC"/>
    <w:rsid w:val="00F22A98"/>
    <w:rsid w:val="00F2688F"/>
    <w:rsid w:val="00F276DA"/>
    <w:rsid w:val="00F30145"/>
    <w:rsid w:val="00F33A93"/>
    <w:rsid w:val="00F34F33"/>
    <w:rsid w:val="00F35A32"/>
    <w:rsid w:val="00F4283A"/>
    <w:rsid w:val="00F45B50"/>
    <w:rsid w:val="00F53DA7"/>
    <w:rsid w:val="00F56D4B"/>
    <w:rsid w:val="00F64CBA"/>
    <w:rsid w:val="00F710A4"/>
    <w:rsid w:val="00F75F5D"/>
    <w:rsid w:val="00F77CD2"/>
    <w:rsid w:val="00F804D8"/>
    <w:rsid w:val="00F82493"/>
    <w:rsid w:val="00F83DBA"/>
    <w:rsid w:val="00F927E4"/>
    <w:rsid w:val="00F939CE"/>
    <w:rsid w:val="00FA13DF"/>
    <w:rsid w:val="00FA57B7"/>
    <w:rsid w:val="00FA681E"/>
    <w:rsid w:val="00FA7F1C"/>
    <w:rsid w:val="00FB3D80"/>
    <w:rsid w:val="00FB40E8"/>
    <w:rsid w:val="00FB429E"/>
    <w:rsid w:val="00FB67A8"/>
    <w:rsid w:val="00FB6FAA"/>
    <w:rsid w:val="00FC69A0"/>
    <w:rsid w:val="00FC7A1E"/>
    <w:rsid w:val="00FD0514"/>
    <w:rsid w:val="00FD25A3"/>
    <w:rsid w:val="00FD2C45"/>
    <w:rsid w:val="00FD3565"/>
    <w:rsid w:val="00FD3737"/>
    <w:rsid w:val="00FD59FE"/>
    <w:rsid w:val="00FD726A"/>
    <w:rsid w:val="00FE0C82"/>
    <w:rsid w:val="00FE10F7"/>
    <w:rsid w:val="00FE6263"/>
    <w:rsid w:val="00FE6766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6C89C-7A6E-40F6-835E-AA1E994A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18"/>
        <w:szCs w:val="18"/>
        <w:lang w:val="uk-UA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0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ru-RU"/>
    </w:rPr>
  </w:style>
  <w:style w:type="paragraph" w:styleId="1">
    <w:name w:val="heading 1"/>
    <w:basedOn w:val="10"/>
    <w:next w:val="10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qFormat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10"/>
    <w:next w:val="1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uk-UA"/>
    </w:rPr>
  </w:style>
  <w:style w:type="paragraph" w:styleId="6">
    <w:name w:val="heading 6"/>
    <w:basedOn w:val="10"/>
    <w:next w:val="10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10"/>
    <w:next w:val="10"/>
    <w:qFormat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10"/>
    <w:next w:val="10"/>
    <w:qFormat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character" w:customStyle="1" w:styleId="12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</w:style>
  <w:style w:type="character" w:customStyle="1" w:styleId="15">
    <w:name w:val="Гіперпосилання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6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customStyle="1" w:styleId="17">
    <w:name w:val="Нижній колонтитул1"/>
    <w:basedOn w:val="10"/>
    <w:pPr>
      <w:tabs>
        <w:tab w:val="center" w:pos="4677"/>
        <w:tab w:val="right" w:pos="9355"/>
      </w:tabs>
    </w:pPr>
  </w:style>
  <w:style w:type="character" w:customStyle="1" w:styleId="18">
    <w:name w:val="Номер сторінки1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9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10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50">
    <w:name w:val="Заголовок 5 Знак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uk-UA" w:eastAsia="ru-RU" w:bidi="ar-SA"/>
    </w:rPr>
  </w:style>
  <w:style w:type="character" w:customStyle="1" w:styleId="60">
    <w:name w:val="Заголовок 6 Знак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uk-UA" w:eastAsia="ru-RU" w:bidi="ar-SA"/>
    </w:rPr>
  </w:style>
  <w:style w:type="character" w:customStyle="1" w:styleId="70">
    <w:name w:val="Заголовок 7 Знак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val="uk-UA" w:eastAsia="ru-RU" w:bidi="ar-SA"/>
    </w:rPr>
  </w:style>
  <w:style w:type="paragraph" w:customStyle="1" w:styleId="1a">
    <w:name w:val="Текст виноски1"/>
    <w:basedOn w:val="10"/>
    <w:qFormat/>
    <w:rPr>
      <w:sz w:val="20"/>
      <w:szCs w:val="20"/>
      <w:lang w:val="uk-UA"/>
    </w:rPr>
  </w:style>
  <w:style w:type="character" w:customStyle="1" w:styleId="a5">
    <w:name w:val="Текст виноски Знак"/>
    <w:rPr>
      <w:w w:val="100"/>
      <w:position w:val="-1"/>
      <w:effect w:val="none"/>
      <w:vertAlign w:val="baseline"/>
      <w:cs w:val="0"/>
      <w:em w:val="none"/>
      <w:lang w:val="uk-UA" w:eastAsia="ru-RU" w:bidi="ar-SA"/>
    </w:rPr>
  </w:style>
  <w:style w:type="character" w:customStyle="1" w:styleId="1b">
    <w:name w:val="Знак виноски1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31">
    <w:name w:val="Основний текст 31"/>
    <w:basedOn w:val="10"/>
    <w:qFormat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rPr>
      <w:w w:val="100"/>
      <w:position w:val="-1"/>
      <w:sz w:val="16"/>
      <w:szCs w:val="16"/>
      <w:effect w:val="none"/>
      <w:vertAlign w:val="baseline"/>
      <w:cs w:val="0"/>
      <w:em w:val="none"/>
      <w:lang w:val="uk-UA" w:eastAsia="ru-RU" w:bidi="ar-SA"/>
    </w:rPr>
  </w:style>
  <w:style w:type="character" w:customStyle="1" w:styleId="1c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d">
    <w:name w:val="Назва1"/>
    <w:basedOn w:val="10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6">
    <w:name w:val="Назва Знак"/>
    <w:rPr>
      <w:rFonts w:ascii="Arial" w:hAnsi="Arial"/>
      <w:b/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styleId="a7">
    <w:name w:val="Strong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e">
    <w:name w:val="Абзац списку1"/>
    <w:basedOn w:val="10"/>
    <w:pPr>
      <w:ind w:left="708"/>
    </w:p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аголовок 3 Знак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Основной текст (4)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 (4)"/>
    <w:basedOn w:val="10"/>
    <w:pPr>
      <w:widowControl w:val="0"/>
      <w:shd w:val="clear" w:color="auto" w:fill="FFFFFF"/>
      <w:spacing w:before="300" w:after="420" w:line="0" w:lineRule="atLeast"/>
    </w:pPr>
    <w:rPr>
      <w:sz w:val="26"/>
      <w:szCs w:val="26"/>
      <w:lang w:val="uk-UA" w:eastAsia="uk-UA"/>
    </w:rPr>
  </w:style>
  <w:style w:type="character" w:customStyle="1" w:styleId="a8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9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a">
    <w:name w:val="Знак"/>
    <w:basedOn w:val="10"/>
    <w:rPr>
      <w:rFonts w:ascii="Verdana" w:hAnsi="Verdana" w:cs="Verdana"/>
      <w:sz w:val="20"/>
      <w:szCs w:val="20"/>
      <w:lang w:val="en-US" w:eastAsia="en-US"/>
    </w:rPr>
  </w:style>
  <w:style w:type="character" w:customStyle="1" w:styleId="42">
    <w:name w:val="Заголовок 4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f0">
    <w:name w:val="Основний текст1"/>
    <w:basedOn w:val="10"/>
    <w:pPr>
      <w:spacing w:after="120"/>
    </w:pPr>
  </w:style>
  <w:style w:type="character" w:customStyle="1" w:styleId="ac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21">
    <w:name w:val="Основний текст з відступом 2;Знак1"/>
    <w:basedOn w:val="10"/>
    <w:pPr>
      <w:spacing w:after="120" w:line="480" w:lineRule="auto"/>
      <w:ind w:left="283"/>
    </w:pPr>
  </w:style>
  <w:style w:type="character" w:customStyle="1" w:styleId="210">
    <w:name w:val="Основний текст з відступом 2 Знак;Знак1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table" w:customStyle="1" w:styleId="1f1">
    <w:name w:val="Сітка таблиці1"/>
    <w:basedOn w:val="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bmf">
    <w:name w:val="tj bmf"/>
    <w:basedOn w:val="10"/>
    <w:pPr>
      <w:spacing w:before="100" w:beforeAutospacing="1" w:after="100" w:afterAutospacing="1"/>
    </w:pPr>
  </w:style>
  <w:style w:type="paragraph" w:customStyle="1" w:styleId="1f2">
    <w:name w:val="Основний текст з відступом1"/>
    <w:basedOn w:val="10"/>
    <w:pPr>
      <w:spacing w:after="120"/>
      <w:ind w:left="283"/>
    </w:pPr>
  </w:style>
  <w:style w:type="character" w:customStyle="1" w:styleId="ad">
    <w:name w:val="Основний текст з від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f3">
    <w:name w:val="Звичайний (веб)1"/>
    <w:basedOn w:val="10"/>
    <w:pPr>
      <w:suppressAutoHyphens w:val="0"/>
      <w:spacing w:before="280" w:after="280"/>
    </w:pPr>
    <w:rPr>
      <w:lang w:val="uk-UA" w:eastAsia="ar-SA"/>
    </w:rPr>
  </w:style>
  <w:style w:type="paragraph" w:customStyle="1" w:styleId="211">
    <w:name w:val="Основной текст с отступом 21"/>
    <w:basedOn w:val="10"/>
    <w:pPr>
      <w:suppressAutoHyphens w:val="0"/>
      <w:spacing w:after="120" w:line="480" w:lineRule="auto"/>
      <w:ind w:left="283"/>
    </w:pPr>
    <w:rPr>
      <w:lang w:eastAsia="zh-CN"/>
    </w:rPr>
  </w:style>
  <w:style w:type="paragraph" w:customStyle="1" w:styleId="212">
    <w:name w:val="Основний текст 21"/>
    <w:basedOn w:val="10"/>
    <w:pPr>
      <w:spacing w:after="120" w:line="480" w:lineRule="auto"/>
    </w:pPr>
  </w:style>
  <w:style w:type="character" w:customStyle="1" w:styleId="22">
    <w:name w:val="Основний текст 2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f4">
    <w:name w:val="Назва об'єкта1"/>
    <w:basedOn w:val="10"/>
    <w:pPr>
      <w:suppressLineNumbers/>
      <w:suppressAutoHyphens w:val="0"/>
      <w:spacing w:before="120" w:after="120"/>
    </w:pPr>
    <w:rPr>
      <w:i/>
      <w:iCs/>
      <w:lang w:eastAsia="zh-CN"/>
    </w:rPr>
  </w:style>
  <w:style w:type="character" w:customStyle="1" w:styleId="1f5">
    <w:name w:val="Переглянуте гіперпосилання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TML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HTML1">
    <w:name w:val="Стандартний HTML1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1f6">
    <w:name w:val="Абзац списка1"/>
    <w:basedOn w:val="10"/>
    <w:pPr>
      <w:ind w:left="708"/>
    </w:pPr>
  </w:style>
  <w:style w:type="character" w:customStyle="1" w:styleId="stlink">
    <w:name w:val="st_link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Основной текст + Полужирный"/>
    <w:rPr>
      <w:rFonts w:ascii="Times New Roman" w:hAnsi="Times New Roman" w:cs="Times New Roman"/>
      <w:b/>
      <w:bCs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paragraph" w:customStyle="1" w:styleId="a00">
    <w:name w:val="a0"/>
    <w:basedOn w:val="10"/>
    <w:pPr>
      <w:spacing w:before="100" w:beforeAutospacing="1" w:after="100" w:afterAutospacing="1"/>
    </w:pPr>
    <w:rPr>
      <w:lang w:val="uk-UA" w:eastAsia="uk-UA"/>
    </w:rPr>
  </w:style>
  <w:style w:type="character" w:customStyle="1" w:styleId="1f7">
    <w:name w:val="Знак1 Знак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spelle">
    <w:name w:val="spelle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f8">
    <w:name w:val="Блокування тексту1"/>
    <w:basedOn w:val="10"/>
    <w:pPr>
      <w:tabs>
        <w:tab w:val="left" w:pos="567"/>
      </w:tabs>
      <w:suppressAutoHyphens w:val="0"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customStyle="1" w:styleId="310">
    <w:name w:val="Основний текст з відступом 31"/>
    <w:basedOn w:val="10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1f9">
    <w:name w:val="Знак Знак1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">
    <w:name w:val="Знак Знак Знак"/>
    <w:basedOn w:val="10"/>
    <w:rPr>
      <w:rFonts w:ascii="Verdana" w:hAnsi="Verdana" w:cs="Verdana"/>
      <w:lang w:val="en-US" w:eastAsia="en-US"/>
    </w:rPr>
  </w:style>
  <w:style w:type="character" w:customStyle="1" w:styleId="af0">
    <w:name w:val="Знак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grame">
    <w:name w:val="grame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BodyTextIndent2Char">
    <w:name w:val="Body Text Indent 2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kwrd">
    <w:name w:val="kwrd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List Paragraph"/>
    <w:basedOn w:val="10"/>
    <w:qFormat/>
    <w:pPr>
      <w:ind w:left="720"/>
      <w:contextualSpacing/>
    </w:pPr>
    <w:rPr>
      <w:sz w:val="28"/>
      <w:szCs w:val="20"/>
      <w:lang w:val="uk-UA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character" w:customStyle="1" w:styleId="apple-converted-space">
    <w:name w:val="apple-converted-space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43">
    <w:name w:val="Знак Знак4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34">
    <w:name w:val="Знак Знак3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3">
    <w:name w:val="Свободная форма 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  <w:lang w:val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10"/>
    <w:pPr>
      <w:spacing w:before="100" w:beforeAutospacing="1" w:after="100" w:afterAutospacing="1"/>
    </w:pPr>
    <w:rPr>
      <w:sz w:val="28"/>
      <w:szCs w:val="28"/>
    </w:rPr>
  </w:style>
  <w:style w:type="paragraph" w:customStyle="1" w:styleId="af4">
    <w:name w:val="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Noeeu1">
    <w:name w:val="Noeeu1"/>
    <w:basedOn w:val="10"/>
    <w:pPr>
      <w:widowControl w:val="0"/>
      <w:tabs>
        <w:tab w:val="left" w:pos="227"/>
        <w:tab w:val="left" w:pos="2268"/>
      </w:tabs>
      <w:overflowPunct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customStyle="1" w:styleId="1fa">
    <w:name w:val="Стиль1"/>
    <w:basedOn w:val="7"/>
    <w:pPr>
      <w:spacing w:before="120" w:after="120"/>
    </w:pPr>
    <w:rPr>
      <w:rFonts w:ascii="Arial" w:hAnsi="Arial"/>
      <w:lang w:val="ru-RU"/>
    </w:rPr>
  </w:style>
  <w:style w:type="paragraph" w:customStyle="1" w:styleId="fix1">
    <w:name w:val="fix1"/>
    <w:basedOn w:val="10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rvts0">
    <w:name w:val="rvts0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51">
    <w:name w:val="Знак Знак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character" w:customStyle="1" w:styleId="23">
    <w:name w:val="Знак Знак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TML10">
    <w:name w:val="Стандартный HTML1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110">
    <w:name w:val="Обычный1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71">
    <w:name w:val="Знак Знак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61">
    <w:name w:val="Знак Знак6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20">
    <w:name w:val="Обычный1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customStyle="1" w:styleId="af5">
    <w:name w:val="a"/>
    <w:basedOn w:val="10"/>
    <w:pPr>
      <w:spacing w:before="100" w:beforeAutospacing="1" w:after="100" w:afterAutospacing="1"/>
    </w:pPr>
  </w:style>
  <w:style w:type="character" w:customStyle="1" w:styleId="150">
    <w:name w:val="Основной текст (15)_"/>
    <w:rPr>
      <w:i/>
      <w:iCs/>
      <w:spacing w:val="2"/>
      <w:w w:val="100"/>
      <w:position w:val="-1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paragraph" w:customStyle="1" w:styleId="151">
    <w:name w:val="Основной текст (15)1"/>
    <w:basedOn w:val="10"/>
    <w:pPr>
      <w:widowControl w:val="0"/>
      <w:shd w:val="clear" w:color="auto" w:fill="FFFFFF"/>
      <w:spacing w:before="60" w:line="370" w:lineRule="atLeast"/>
      <w:ind w:hanging="360"/>
    </w:pPr>
    <w:rPr>
      <w:i/>
      <w:iCs/>
      <w:spacing w:val="2"/>
      <w:sz w:val="25"/>
      <w:szCs w:val="25"/>
      <w:shd w:val="clear" w:color="auto" w:fill="FFFFFF"/>
      <w:lang w:val="uk-UA" w:eastAsia="uk-UA"/>
    </w:rPr>
  </w:style>
  <w:style w:type="paragraph" w:customStyle="1" w:styleId="213">
    <w:name w:val="Основной текст 21"/>
    <w:basedOn w:val="10"/>
    <w:pPr>
      <w:widowControl w:val="0"/>
      <w:suppressAutoHyphens w:val="0"/>
      <w:autoSpaceDE w:val="0"/>
      <w:spacing w:before="100" w:after="100"/>
    </w:pPr>
    <w:rPr>
      <w:rFonts w:ascii="Arial CYR" w:eastAsia="Calibri" w:hAnsi="Arial CYR" w:cs="Arial CYR"/>
      <w:color w:val="3366FF"/>
      <w:sz w:val="20"/>
      <w:szCs w:val="20"/>
      <w:lang w:val="uk-UA" w:eastAsia="ar-SA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uk-UA" w:eastAsia="ar-SA" w:bidi="ar-SA"/>
    </w:rPr>
  </w:style>
  <w:style w:type="character" w:customStyle="1" w:styleId="stlink1">
    <w:name w:val="st_link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snmenutitle">
    <w:name w:val="sn_menu_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1fb">
    <w:name w:val="Знак примітки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fc">
    <w:name w:val="Текст примітки1"/>
    <w:basedOn w:val="10"/>
    <w:rPr>
      <w:sz w:val="20"/>
      <w:szCs w:val="20"/>
    </w:rPr>
  </w:style>
  <w:style w:type="character" w:customStyle="1" w:styleId="af6">
    <w:name w:val="Текст примітки Знак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fd">
    <w:name w:val="Тема примітки1"/>
    <w:basedOn w:val="1fc"/>
    <w:next w:val="1fc"/>
    <w:rPr>
      <w:b/>
      <w:bCs/>
    </w:rPr>
  </w:style>
  <w:style w:type="character" w:customStyle="1" w:styleId="af7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b/>
      <w:bCs/>
      <w:w w:val="100"/>
      <w:position w:val="-1"/>
      <w:sz w:val="32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font6">
    <w:name w:val="font6"/>
    <w:basedOn w:val="1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1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10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5">
    <w:name w:val="xl65"/>
    <w:basedOn w:val="10"/>
    <w:pPr>
      <w:spacing w:before="100" w:beforeAutospacing="1" w:after="100" w:afterAutospacing="1"/>
    </w:pPr>
  </w:style>
  <w:style w:type="paragraph" w:customStyle="1" w:styleId="xl66">
    <w:name w:val="xl66"/>
    <w:basedOn w:val="1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10"/>
    <w:pPr>
      <w:spacing w:before="100" w:beforeAutospacing="1" w:after="100" w:afterAutospacing="1"/>
    </w:pPr>
  </w:style>
  <w:style w:type="paragraph" w:customStyle="1" w:styleId="xl68">
    <w:name w:val="xl68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10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10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1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1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10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1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1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1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10"/>
    <w:pPr>
      <w:spacing w:before="100" w:beforeAutospacing="1" w:after="100" w:afterAutospacing="1"/>
    </w:pPr>
  </w:style>
  <w:style w:type="paragraph" w:customStyle="1" w:styleId="xl114">
    <w:name w:val="xl114"/>
    <w:basedOn w:val="10"/>
    <w:pPr>
      <w:spacing w:before="100" w:beforeAutospacing="1" w:after="100" w:afterAutospacing="1"/>
    </w:pPr>
  </w:style>
  <w:style w:type="paragraph" w:customStyle="1" w:styleId="xl115">
    <w:name w:val="xl115"/>
    <w:basedOn w:val="1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10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1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f8">
    <w:name w:val="Subtitle"/>
    <w:basedOn w:val="a"/>
    <w:next w:val="a"/>
    <w:link w:val="a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header"/>
    <w:basedOn w:val="a"/>
    <w:link w:val="1fe"/>
    <w:uiPriority w:val="99"/>
    <w:unhideWhenUsed/>
    <w:rsid w:val="005E5975"/>
    <w:pPr>
      <w:tabs>
        <w:tab w:val="center" w:pos="4677"/>
        <w:tab w:val="right" w:pos="9355"/>
      </w:tabs>
      <w:spacing w:line="240" w:lineRule="auto"/>
    </w:pPr>
  </w:style>
  <w:style w:type="character" w:customStyle="1" w:styleId="1fe">
    <w:name w:val="Верхній колонтитул Знак1"/>
    <w:basedOn w:val="a0"/>
    <w:link w:val="aff1"/>
    <w:uiPriority w:val="99"/>
    <w:rsid w:val="005E5975"/>
    <w:rPr>
      <w:snapToGrid w:val="0"/>
      <w:position w:val="-1"/>
      <w:lang w:val="ru-RU"/>
    </w:rPr>
  </w:style>
  <w:style w:type="paragraph" w:styleId="aff2">
    <w:name w:val="footer"/>
    <w:basedOn w:val="a"/>
    <w:link w:val="1ff"/>
    <w:uiPriority w:val="99"/>
    <w:unhideWhenUsed/>
    <w:rsid w:val="005E5975"/>
    <w:pPr>
      <w:tabs>
        <w:tab w:val="center" w:pos="4677"/>
        <w:tab w:val="right" w:pos="9355"/>
      </w:tabs>
      <w:spacing w:line="240" w:lineRule="auto"/>
    </w:pPr>
  </w:style>
  <w:style w:type="character" w:customStyle="1" w:styleId="1ff">
    <w:name w:val="Нижній колонтитул Знак1"/>
    <w:basedOn w:val="a0"/>
    <w:link w:val="aff2"/>
    <w:uiPriority w:val="99"/>
    <w:rsid w:val="005E5975"/>
    <w:rPr>
      <w:snapToGrid w:val="0"/>
      <w:position w:val="-1"/>
      <w:lang w:val="ru-RU"/>
    </w:rPr>
  </w:style>
  <w:style w:type="paragraph" w:styleId="aff3">
    <w:name w:val="Balloon Text"/>
    <w:basedOn w:val="a"/>
    <w:link w:val="1ff0"/>
    <w:uiPriority w:val="99"/>
    <w:semiHidden/>
    <w:unhideWhenUsed/>
    <w:rsid w:val="006F2209"/>
    <w:pPr>
      <w:spacing w:line="240" w:lineRule="auto"/>
    </w:pPr>
    <w:rPr>
      <w:rFonts w:ascii="Segoe UI" w:hAnsi="Segoe UI" w:cs="Segoe UI"/>
    </w:rPr>
  </w:style>
  <w:style w:type="character" w:customStyle="1" w:styleId="1ff0">
    <w:name w:val="Текст у виносці Знак1"/>
    <w:basedOn w:val="a0"/>
    <w:link w:val="aff3"/>
    <w:uiPriority w:val="99"/>
    <w:semiHidden/>
    <w:rsid w:val="006F2209"/>
    <w:rPr>
      <w:rFonts w:ascii="Segoe UI" w:hAnsi="Segoe UI" w:cs="Segoe UI"/>
      <w:snapToGrid w:val="0"/>
      <w:position w:val="-1"/>
      <w:lang w:val="ru-RU"/>
    </w:rPr>
  </w:style>
  <w:style w:type="character" w:styleId="aff4">
    <w:name w:val="Hyperlink"/>
    <w:uiPriority w:val="99"/>
    <w:rsid w:val="009F24DA"/>
    <w:rPr>
      <w:color w:val="0000FF"/>
      <w:u w:val="single"/>
    </w:rPr>
  </w:style>
  <w:style w:type="numbering" w:customStyle="1" w:styleId="1ff1">
    <w:name w:val="Нет списка1"/>
    <w:next w:val="a2"/>
    <w:uiPriority w:val="99"/>
    <w:semiHidden/>
    <w:unhideWhenUsed/>
    <w:rsid w:val="009F24DA"/>
  </w:style>
  <w:style w:type="character" w:styleId="aff5">
    <w:name w:val="page number"/>
    <w:basedOn w:val="a0"/>
    <w:rsid w:val="009F24DA"/>
  </w:style>
  <w:style w:type="character" w:customStyle="1" w:styleId="11">
    <w:name w:val="Назва Знак1"/>
    <w:basedOn w:val="a0"/>
    <w:link w:val="a3"/>
    <w:rsid w:val="009F24DA"/>
    <w:rPr>
      <w:b/>
      <w:snapToGrid w:val="0"/>
      <w:position w:val="-1"/>
      <w:sz w:val="72"/>
      <w:szCs w:val="72"/>
      <w:lang w:val="ru-RU"/>
    </w:rPr>
  </w:style>
  <w:style w:type="paragraph" w:styleId="aff6">
    <w:name w:val="Normal (Web)"/>
    <w:basedOn w:val="a"/>
    <w:uiPriority w:val="99"/>
    <w:unhideWhenUsed/>
    <w:rsid w:val="009F24D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styleId="aff7">
    <w:name w:val="Emphasis"/>
    <w:uiPriority w:val="20"/>
    <w:qFormat/>
    <w:rsid w:val="009F24DA"/>
    <w:rPr>
      <w:i/>
      <w:iCs/>
    </w:rPr>
  </w:style>
  <w:style w:type="paragraph" w:styleId="aff8">
    <w:name w:val="Body Text"/>
    <w:basedOn w:val="a"/>
    <w:link w:val="1ff2"/>
    <w:rsid w:val="009F24DA"/>
    <w:pPr>
      <w:suppressAutoHyphens w:val="0"/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customStyle="1" w:styleId="1ff2">
    <w:name w:val="Основний текст Знак1"/>
    <w:basedOn w:val="a0"/>
    <w:link w:val="aff8"/>
    <w:rsid w:val="009F24D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rsid w:val="009F24D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9F24DA"/>
    <w:rPr>
      <w:rFonts w:ascii="Times New Roman" w:hAnsi="Times New Roman" w:cs="Times New Roman"/>
      <w:color w:val="000000"/>
      <w:sz w:val="28"/>
      <w:szCs w:val="28"/>
    </w:rPr>
  </w:style>
  <w:style w:type="paragraph" w:styleId="aff9">
    <w:name w:val="caption"/>
    <w:basedOn w:val="a"/>
    <w:next w:val="a"/>
    <w:qFormat/>
    <w:rsid w:val="009F24DA"/>
    <w:pP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napToGrid/>
      <w:position w:val="0"/>
      <w:sz w:val="28"/>
      <w:szCs w:val="24"/>
      <w:lang w:val="uk-UA"/>
    </w:rPr>
  </w:style>
  <w:style w:type="paragraph" w:styleId="24">
    <w:name w:val="Body Text Indent 2"/>
    <w:aliases w:val=" Знак1,Знак1"/>
    <w:basedOn w:val="a"/>
    <w:link w:val="25"/>
    <w:rsid w:val="009F24DA"/>
    <w:pPr>
      <w:suppressAutoHyphens w:val="0"/>
      <w:spacing w:after="120" w:line="480" w:lineRule="auto"/>
      <w:ind w:leftChars="0" w:left="283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customStyle="1" w:styleId="25">
    <w:name w:val="Основний текст з відступом 2 Знак"/>
    <w:aliases w:val=" Знак1 Знак,Знак1 Знак"/>
    <w:basedOn w:val="a0"/>
    <w:link w:val="24"/>
    <w:rsid w:val="009F24DA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ff3">
    <w:name w:val="Сетка таблицы1"/>
    <w:basedOn w:val="a1"/>
    <w:next w:val="affa"/>
    <w:uiPriority w:val="39"/>
    <w:rsid w:val="009F24DA"/>
    <w:pPr>
      <w:jc w:val="left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"/>
    <w:link w:val="1ff4"/>
    <w:semiHidden/>
    <w:unhideWhenUsed/>
    <w:rsid w:val="009F24D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0"/>
      <w:szCs w:val="20"/>
      <w:lang w:val="uk-UA"/>
    </w:rPr>
  </w:style>
  <w:style w:type="character" w:customStyle="1" w:styleId="1ff4">
    <w:name w:val="Текст виноски Знак1"/>
    <w:basedOn w:val="a0"/>
    <w:link w:val="affb"/>
    <w:semiHidden/>
    <w:rsid w:val="009F24DA"/>
    <w:rPr>
      <w:rFonts w:ascii="Times New Roman" w:eastAsia="Times New Roman" w:hAnsi="Times New Roman" w:cs="Times New Roman"/>
      <w:sz w:val="20"/>
      <w:szCs w:val="20"/>
    </w:rPr>
  </w:style>
  <w:style w:type="paragraph" w:styleId="35">
    <w:name w:val="Body Text 3"/>
    <w:basedOn w:val="a"/>
    <w:link w:val="311"/>
    <w:unhideWhenUsed/>
    <w:rsid w:val="009F24DA"/>
    <w:pPr>
      <w:suppressAutoHyphens w:val="0"/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16"/>
      <w:szCs w:val="16"/>
      <w:lang w:val="uk-UA"/>
    </w:rPr>
  </w:style>
  <w:style w:type="character" w:customStyle="1" w:styleId="311">
    <w:name w:val="Основний текст 3 Знак1"/>
    <w:basedOn w:val="a0"/>
    <w:link w:val="35"/>
    <w:rsid w:val="009F24DA"/>
    <w:rPr>
      <w:rFonts w:ascii="Times New Roman" w:eastAsia="Times New Roman" w:hAnsi="Times New Roman" w:cs="Times New Roman"/>
      <w:sz w:val="16"/>
      <w:szCs w:val="16"/>
    </w:rPr>
  </w:style>
  <w:style w:type="numbering" w:customStyle="1" w:styleId="111">
    <w:name w:val="Нет списка11"/>
    <w:next w:val="a2"/>
    <w:uiPriority w:val="99"/>
    <w:semiHidden/>
    <w:unhideWhenUsed/>
    <w:rsid w:val="009F24DA"/>
  </w:style>
  <w:style w:type="table" w:customStyle="1" w:styleId="TableNormal1">
    <w:name w:val="Table Normal1"/>
    <w:rsid w:val="009F24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Звичайна таблиця11"/>
    <w:rsid w:val="009F24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має списку11"/>
    <w:rsid w:val="009F24DA"/>
  </w:style>
  <w:style w:type="table" w:customStyle="1" w:styleId="TableGrid1">
    <w:name w:val="TableGrid1"/>
    <w:rsid w:val="009F24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ітка таблиці11"/>
    <w:basedOn w:val="13"/>
    <w:rsid w:val="009F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Підзаголовок Знак"/>
    <w:basedOn w:val="a0"/>
    <w:link w:val="af8"/>
    <w:rsid w:val="009F24DA"/>
    <w:rPr>
      <w:rFonts w:ascii="Georgia" w:eastAsia="Georgia" w:hAnsi="Georgia" w:cs="Georgia"/>
      <w:i/>
      <w:snapToGrid w:val="0"/>
      <w:color w:val="666666"/>
      <w:position w:val="-1"/>
      <w:sz w:val="48"/>
      <w:szCs w:val="48"/>
      <w:lang w:val="ru-RU"/>
    </w:rPr>
  </w:style>
  <w:style w:type="table" w:styleId="affa">
    <w:name w:val="Table Grid"/>
    <w:basedOn w:val="a1"/>
    <w:uiPriority w:val="39"/>
    <w:rsid w:val="009F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a"/>
    <w:uiPriority w:val="59"/>
    <w:rsid w:val="00EB6B58"/>
    <w:pPr>
      <w:jc w:val="left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a"/>
    <w:uiPriority w:val="39"/>
    <w:rsid w:val="003E7EB6"/>
    <w:pPr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64,baiaagaaboqcaaadeqcaaaufbwaaaaaaaaaaaaaaaaaaaaaaaaaaaaaaaaaaaaaaaaaaaaaaaaaaaaaaaaaaaaaaaaaaaaaaaaaaaaaaaaaaaaaaaaaaaaaaaaaaaaaaaaaaaaaaaaaaaaaaaaaaaaaaaaaaaaaaaaaaaaaaaaaaaaaaaaaaaaaaaaaaaaaaaaaaaaaaaaaaaaaaaaaaaaaaaaaaaaaaaaaaaaaa"/>
    <w:basedOn w:val="a"/>
    <w:rsid w:val="00A63BD0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AtF8r6D2SEaE7bvQNRbsuBDhw==">CgMxLjAyCWlkLmdqZGd4czgAciExNi1BUUVlYU9ZQ2RWaFJfVmNETFllYmxTM0QtNDhGUjA=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7941F2-DC80-4671-875F-DD0DA1E4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2460</Words>
  <Characters>14026</Characters>
  <Application>Microsoft Office Word</Application>
  <DocSecurity>0</DocSecurity>
  <Lines>116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92</vt:i4>
      </vt:variant>
      <vt:variant>
        <vt:lpstr>Назва</vt:lpstr>
      </vt:variant>
      <vt:variant>
        <vt:i4>1</vt:i4>
      </vt:variant>
    </vt:vector>
  </HeadingPairs>
  <TitlesOfParts>
    <vt:vector size="94" baseType="lpstr">
      <vt:lpstr/>
      <vt:lpstr/>
      <vt:lpstr>3.  Виконавчий комітет міської ради визначити головним розпорядником коштів.</vt:lpstr>
      <vt:lpstr/>
      <vt:lpstr>5. Контроль за виконанням цього рішення покласти на постійну комісію міської рад</vt:lpstr>
      <vt:lpstr/>
      <vt:lpstr>Секретар міської ради   					Владислав БАЙЧАС</vt:lpstr>
      <vt:lpstr>ЗАТВЕРДЖЕНО</vt:lpstr>
      <vt:lpstr>Рішення міської ради (п. 1.)</vt:lpstr>
      <vt:lpstr>__________________</vt:lpstr>
      <vt:lpstr>№ ________________</vt:lpstr>
      <vt:lpstr/>
      <vt:lpstr>Програма розвитку та підтримки галузі охорони здоров’я</vt:lpstr>
      <vt:lpstr>Бориспільської міської територіальної громади </vt:lpstr>
      <vt:lpstr>на 2025-2027 роки </vt:lpstr>
      <vt:lpstr/>
      <vt:lpstr>1. Паспорт Програми</vt:lpstr>
      <vt:lpstr/>
      <vt:lpstr/>
      <vt:lpstr>2. Визначення проблеми, на розв’язання якої спрямована Програма</vt:lpstr>
      <vt:lpstr/>
      <vt:lpstr>Створення умов для ефективних і доступних медичних послуг та медичного обслуго</vt:lpstr>
      <vt:lpstr>Реалізацію державної політики у сфері охорони здоров’я на місцевому рівні забезп</vt:lpstr>
      <vt:lpstr>Розроблення та прийняття програми розвитку та підтримки галузі охорони здоров’я </vt:lpstr>
      <vt:lpstr>Однією із складових людського потенціалу є високі якісні характеристики людини, </vt:lpstr>
      <vt:lpstr>А тому створення та розвиток системи охорони здоров’я Бориспільської міської тер</vt:lpstr>
      <vt:lpstr>Реалізація Програми дозволить удосконалити мережу закладів охорони здоров’я, пол</vt:lpstr>
      <vt:lpstr>Хоча протягом останніх років заклади охорони здоров'я Бориспільської громади про</vt:lpstr>
      <vt:lpstr>З 2020 року заклади охорони здоров'я зазнали величезного навантаження, реагуючи </vt:lpstr>
      <vt:lpstr>На фоні несприятливої соціально-економічної ситуації та демографічних змін відбу</vt:lpstr>
      <vt:lpstr/>
      <vt:lpstr/>
      <vt:lpstr>Статистику захворювань населення по Бориспільській громаді протягом останніх трь</vt:lpstr>
      <vt:lpstr/>
      <vt:lpstr>Для надання доступної, кваліфікованої та якісної медичної допомоги мешканцям гро</vt:lpstr>
      <vt:lpstr>Первинна медична допомога надається КНП «Бориспільський МЦПМСД», амбулаторії яко</vt:lpstr>
      <vt:lpstr>Проте з метою посилення спроможності та розвитку первинної медичної допомоги у с</vt:lpstr>
      <vt:lpstr>На спеціалізованому рівні медичні послуги надаються КНП «ББЛІЛ» та КНП «БСЦ». У </vt:lpstr>
      <vt:lpstr>У КНП «ББЛІЛ» пацієнти отримують спеціалізовану амбулаторну та стаціонарну медич</vt:lpstr>
      <vt:lpstr>З 01 вересня 2022 року у стаціонарі відкрито відділення інтервенційної кардіолог</vt:lpstr>
      <vt:lpstr>Повномасштабне вторгнення російської федерації в Україну поставило ряд нових зав</vt:lpstr>
      <vt:lpstr>Особливої підтримки на відшкодування лікарських засобів та медичних послуг понад</vt:lpstr>
      <vt:lpstr>Медичні стоматологічні послуги надаються КНП «БСЦ». Це - сучасна стоматологічна </vt:lpstr>
      <vt:lpstr>З метою забезпечення ефективної роботи діяльності КНП на законодавчому рівні роз</vt:lpstr>
      <vt:lpstr>У сучасних умовах реформування медичної галузі для забезпечення виконання КНП ох</vt:lpstr>
      <vt:lpstr>У зв’язку із загостренням проблем зі збереження здоров’я населення, зниження рів</vt:lpstr>
      <vt:lpstr>Одним із найскладнішим і найважливішим викликом для населення та сфери охорони з</vt:lpstr>
      <vt:lpstr>Прийняття Програми створює правові засади для запровадження фінансування заходів</vt:lpstr>
      <vt:lpstr/>
      <vt:lpstr>5. Ресурсне забезпечення Програми</vt:lpstr>
      <vt:lpstr/>
      <vt:lpstr/>
      <vt:lpstr>6. Перелік завдань і заходів Програми та очікувані результати</vt:lpstr>
      <vt:lpstr/>
      <vt:lpstr/>
      <vt:lpstr/>
      <vt:lpstr/>
      <vt:lpstr>Продовження таблиці</vt:lpstr>
      <vt:lpstr/>
      <vt:lpstr/>
      <vt:lpstr>Продовження таблиці</vt:lpstr>
      <vt:lpstr/>
      <vt:lpstr>Продовження таблиці</vt:lpstr>
      <vt:lpstr>Продовження таблиці</vt:lpstr>
      <vt:lpstr/>
      <vt:lpstr/>
      <vt:lpstr/>
      <vt:lpstr/>
      <vt:lpstr>Продовження таблиці</vt:lpstr>
      <vt:lpstr/>
      <vt:lpstr>Продовження таблиці</vt:lpstr>
      <vt:lpstr/>
      <vt:lpstr/>
      <vt:lpstr>Продовження таблиці</vt:lpstr>
      <vt:lpstr/>
      <vt:lpstr/>
      <vt:lpstr/>
      <vt:lpstr/>
      <vt:lpstr/>
      <vt:lpstr/>
      <vt:lpstr>Продовження таблиці</vt:lpstr>
      <vt:lpstr>Продовження таблиці</vt:lpstr>
      <vt:lpstr/>
      <vt:lpstr/>
      <vt:lpstr/>
      <vt:lpstr/>
      <vt:lpstr/>
      <vt:lpstr>Продовження таблиці</vt:lpstr>
      <vt:lpstr/>
      <vt:lpstr>8. Координація та контроль за ходом виконання Програми </vt:lpstr>
      <vt:lpstr/>
      <vt:lpstr>Координація та контроль за ходом виконання Програми покладається на заступника м</vt:lpstr>
      <vt:lpstr/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2</cp:revision>
  <cp:lastPrinted>2024-10-14T07:39:00Z</cp:lastPrinted>
  <dcterms:created xsi:type="dcterms:W3CDTF">2024-10-21T10:34:00Z</dcterms:created>
  <dcterms:modified xsi:type="dcterms:W3CDTF">2024-10-21T10:34:00Z</dcterms:modified>
</cp:coreProperties>
</file>